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9EA" w:rsidRDefault="002F09EA" w:rsidP="002F09EA">
      <w:pPr>
        <w:jc w:val="center"/>
        <w:rPr>
          <w:rFonts w:cstheme="minorHAnsi"/>
          <w:b/>
          <w:bCs/>
        </w:rPr>
      </w:pPr>
      <w:r>
        <w:rPr>
          <w:rFonts w:cstheme="minorHAnsi"/>
          <w:b/>
          <w:bCs/>
        </w:rPr>
        <w:t>Základní přehled o finančních nástrojích</w:t>
      </w:r>
      <w:r w:rsidR="003840BB">
        <w:rPr>
          <w:rFonts w:cstheme="minorHAnsi"/>
          <w:b/>
          <w:bCs/>
        </w:rPr>
        <w:t xml:space="preserve"> v ČR</w:t>
      </w:r>
    </w:p>
    <w:p w:rsidR="00C52A03" w:rsidRPr="0005128B" w:rsidRDefault="002F09EA" w:rsidP="002A68E5">
      <w:pPr>
        <w:rPr>
          <w:rFonts w:cstheme="minorHAnsi"/>
          <w:b/>
          <w:bCs/>
          <w:u w:val="single"/>
        </w:rPr>
      </w:pPr>
      <w:r w:rsidRPr="0005128B">
        <w:rPr>
          <w:rFonts w:cstheme="minorHAnsi"/>
          <w:b/>
          <w:bCs/>
          <w:u w:val="single"/>
        </w:rPr>
        <w:t>Základní teze</w:t>
      </w:r>
    </w:p>
    <w:p w:rsidR="003840BB" w:rsidRDefault="003840BB" w:rsidP="00707496">
      <w:pPr>
        <w:pStyle w:val="Odstavecseseznamem"/>
        <w:numPr>
          <w:ilvl w:val="0"/>
          <w:numId w:val="3"/>
        </w:numPr>
        <w:ind w:left="426"/>
        <w:jc w:val="both"/>
        <w:rPr>
          <w:rFonts w:cstheme="minorHAnsi"/>
          <w:bCs/>
        </w:rPr>
      </w:pPr>
      <w:r w:rsidRPr="00D75904">
        <w:rPr>
          <w:rFonts w:cstheme="minorHAnsi"/>
          <w:bCs/>
        </w:rPr>
        <w:t>Navrhovaná opatření musí vzít v potaz existující podporu inovační</w:t>
      </w:r>
      <w:r w:rsidR="00E2488E">
        <w:rPr>
          <w:rFonts w:cstheme="minorHAnsi"/>
          <w:bCs/>
        </w:rPr>
        <w:t>mu</w:t>
      </w:r>
      <w:r w:rsidRPr="00D75904">
        <w:rPr>
          <w:rFonts w:cstheme="minorHAnsi"/>
          <w:bCs/>
        </w:rPr>
        <w:t xml:space="preserve"> ekosystému ČR, zahrnující </w:t>
      </w:r>
      <w:r w:rsidR="00D75904">
        <w:rPr>
          <w:rFonts w:cstheme="minorHAnsi"/>
          <w:bCs/>
        </w:rPr>
        <w:t xml:space="preserve">zahraniční, </w:t>
      </w:r>
      <w:r w:rsidRPr="00D75904">
        <w:rPr>
          <w:rFonts w:cstheme="minorHAnsi"/>
          <w:bCs/>
        </w:rPr>
        <w:t xml:space="preserve">státní </w:t>
      </w:r>
      <w:r w:rsidR="00D75904">
        <w:rPr>
          <w:rFonts w:cstheme="minorHAnsi"/>
          <w:bCs/>
        </w:rPr>
        <w:t>i</w:t>
      </w:r>
      <w:r w:rsidRPr="00D75904">
        <w:rPr>
          <w:rFonts w:cstheme="minorHAnsi"/>
          <w:bCs/>
        </w:rPr>
        <w:t xml:space="preserve"> </w:t>
      </w:r>
      <w:r w:rsidRPr="00D75904">
        <w:rPr>
          <w:rFonts w:cstheme="minorHAnsi"/>
          <w:bCs/>
        </w:rPr>
        <w:t>regionální</w:t>
      </w:r>
      <w:r w:rsidRPr="00D75904">
        <w:rPr>
          <w:rFonts w:cstheme="minorHAnsi"/>
          <w:bCs/>
        </w:rPr>
        <w:t xml:space="preserve"> organizace, akademická pracoviště i soukromý sektor.</w:t>
      </w:r>
    </w:p>
    <w:p w:rsidR="00D75904" w:rsidRPr="00D75904" w:rsidRDefault="00D75904" w:rsidP="00707496">
      <w:pPr>
        <w:pStyle w:val="Odstavecseseznamem"/>
        <w:numPr>
          <w:ilvl w:val="0"/>
          <w:numId w:val="3"/>
        </w:numPr>
        <w:ind w:left="426"/>
        <w:jc w:val="both"/>
        <w:rPr>
          <w:rFonts w:cstheme="minorHAnsi"/>
          <w:bCs/>
        </w:rPr>
      </w:pPr>
      <w:r>
        <w:rPr>
          <w:rFonts w:cstheme="minorHAnsi"/>
          <w:bCs/>
        </w:rPr>
        <w:t xml:space="preserve">Otázkou k řešení je využití finančních nástrojů pro </w:t>
      </w:r>
      <w:proofErr w:type="spellStart"/>
      <w:r>
        <w:rPr>
          <w:rFonts w:cstheme="minorHAnsi"/>
          <w:bCs/>
        </w:rPr>
        <w:t>startupy</w:t>
      </w:r>
      <w:proofErr w:type="spellEnd"/>
      <w:r>
        <w:rPr>
          <w:rFonts w:cstheme="minorHAnsi"/>
          <w:bCs/>
        </w:rPr>
        <w:t xml:space="preserve"> nebo </w:t>
      </w:r>
      <w:r w:rsidR="00E2488E">
        <w:rPr>
          <w:rFonts w:cstheme="minorHAnsi"/>
          <w:bCs/>
        </w:rPr>
        <w:t>umo</w:t>
      </w:r>
      <w:r w:rsidR="0005128B">
        <w:rPr>
          <w:rFonts w:cstheme="minorHAnsi"/>
          <w:bCs/>
        </w:rPr>
        <w:t xml:space="preserve">žnění využití těchto nástrojů ve výzkumu, vývoji a inovacích </w:t>
      </w:r>
      <w:r w:rsidR="00E2488E">
        <w:rPr>
          <w:rFonts w:cstheme="minorHAnsi"/>
          <w:bCs/>
        </w:rPr>
        <w:t xml:space="preserve">i </w:t>
      </w:r>
      <w:r w:rsidR="0005128B">
        <w:rPr>
          <w:rFonts w:cstheme="minorHAnsi"/>
          <w:bCs/>
        </w:rPr>
        <w:t>jinak, než přes zákon o MSP.</w:t>
      </w:r>
    </w:p>
    <w:p w:rsidR="003840BB" w:rsidRPr="00D75904" w:rsidRDefault="003840BB" w:rsidP="00707496">
      <w:pPr>
        <w:pStyle w:val="Odstavecseseznamem"/>
        <w:numPr>
          <w:ilvl w:val="0"/>
          <w:numId w:val="3"/>
        </w:numPr>
        <w:ind w:left="426"/>
        <w:jc w:val="both"/>
        <w:rPr>
          <w:rFonts w:ascii="Calibri" w:eastAsia="Calibri" w:hAnsi="Calibri" w:cs="Calibri"/>
        </w:rPr>
      </w:pPr>
      <w:r w:rsidRPr="00D75904">
        <w:rPr>
          <w:rFonts w:ascii="Calibri" w:eastAsia="Calibri" w:hAnsi="Calibri" w:cs="Calibri"/>
        </w:rPr>
        <w:t xml:space="preserve">Jedno z </w:t>
      </w:r>
      <w:r w:rsidRPr="00D75904">
        <w:rPr>
          <w:rFonts w:ascii="Calibri" w:eastAsia="Calibri" w:hAnsi="Calibri" w:cs="Calibri"/>
        </w:rPr>
        <w:t xml:space="preserve">doporučení EK </w:t>
      </w:r>
      <w:r w:rsidRPr="00D75904">
        <w:rPr>
          <w:rFonts w:ascii="Calibri" w:eastAsia="Calibri" w:hAnsi="Calibri" w:cs="Calibri"/>
        </w:rPr>
        <w:t>(</w:t>
      </w:r>
      <w:r w:rsidRPr="00D75904">
        <w:rPr>
          <w:rFonts w:ascii="Calibri" w:eastAsia="Calibri" w:hAnsi="Calibri" w:cs="Calibri"/>
        </w:rPr>
        <w:t>z roku 2020</w:t>
      </w:r>
      <w:r w:rsidRPr="00D75904">
        <w:rPr>
          <w:rFonts w:ascii="Calibri" w:eastAsia="Calibri" w:hAnsi="Calibri" w:cs="Calibri"/>
        </w:rPr>
        <w:t xml:space="preserve">) </w:t>
      </w:r>
      <w:r w:rsidR="00E2488E">
        <w:rPr>
          <w:rFonts w:ascii="Calibri" w:eastAsia="Calibri" w:hAnsi="Calibri" w:cs="Calibri"/>
        </w:rPr>
        <w:t>vybízelo</w:t>
      </w:r>
      <w:r w:rsidRPr="00D75904">
        <w:rPr>
          <w:rFonts w:ascii="Calibri" w:eastAsia="Calibri" w:hAnsi="Calibri" w:cs="Calibri"/>
        </w:rPr>
        <w:t xml:space="preserve"> </w:t>
      </w:r>
      <w:r w:rsidR="00E2488E">
        <w:rPr>
          <w:rFonts w:ascii="Calibri" w:eastAsia="Calibri" w:hAnsi="Calibri" w:cs="Calibri"/>
        </w:rPr>
        <w:t>k podpoře</w:t>
      </w:r>
      <w:r w:rsidRPr="00D75904">
        <w:rPr>
          <w:rFonts w:ascii="Calibri" w:eastAsia="Calibri" w:hAnsi="Calibri" w:cs="Calibri"/>
        </w:rPr>
        <w:t xml:space="preserve"> MSP, </w:t>
      </w:r>
      <w:r w:rsidRPr="00D75904">
        <w:rPr>
          <w:rFonts w:ascii="Calibri" w:eastAsia="Calibri" w:hAnsi="Calibri" w:cs="Calibri"/>
        </w:rPr>
        <w:t>především v počátečních fází</w:t>
      </w:r>
      <w:r w:rsidRPr="00D75904">
        <w:rPr>
          <w:rFonts w:ascii="Calibri" w:eastAsia="Calibri" w:hAnsi="Calibri" w:cs="Calibri"/>
        </w:rPr>
        <w:t>ch</w:t>
      </w:r>
      <w:r w:rsidRPr="00D75904">
        <w:rPr>
          <w:rFonts w:ascii="Calibri" w:eastAsia="Calibri" w:hAnsi="Calibri" w:cs="Calibri"/>
        </w:rPr>
        <w:t xml:space="preserve"> vývoje</w:t>
      </w:r>
      <w:r w:rsidRPr="00D75904">
        <w:rPr>
          <w:rFonts w:ascii="Calibri" w:eastAsia="Calibri" w:hAnsi="Calibri" w:cs="Calibri"/>
        </w:rPr>
        <w:t>, větším využíváním finančních nástrojů.</w:t>
      </w:r>
    </w:p>
    <w:p w:rsidR="0054021A" w:rsidRPr="00D75904" w:rsidRDefault="003840BB" w:rsidP="00707496">
      <w:pPr>
        <w:pStyle w:val="Odstavecseseznamem"/>
        <w:numPr>
          <w:ilvl w:val="0"/>
          <w:numId w:val="3"/>
        </w:numPr>
        <w:ind w:left="426"/>
        <w:jc w:val="both"/>
        <w:rPr>
          <w:rFonts w:cstheme="minorHAnsi"/>
        </w:rPr>
      </w:pPr>
      <w:r w:rsidRPr="00D75904">
        <w:rPr>
          <w:rFonts w:cstheme="minorHAnsi"/>
        </w:rPr>
        <w:t xml:space="preserve">Spolu s návrhy finančních nástrojů je třeba řešit potenciál českého trhu pro tuto oblast. </w:t>
      </w:r>
      <w:r w:rsidR="00E2488E">
        <w:rPr>
          <w:rFonts w:cstheme="minorHAnsi"/>
        </w:rPr>
        <w:t xml:space="preserve">Např. u </w:t>
      </w:r>
      <w:proofErr w:type="spellStart"/>
      <w:r w:rsidR="00E2488E">
        <w:rPr>
          <w:rFonts w:cstheme="minorHAnsi"/>
        </w:rPr>
        <w:t>startupů</w:t>
      </w:r>
      <w:proofErr w:type="spellEnd"/>
      <w:r w:rsidR="00E2488E">
        <w:rPr>
          <w:rFonts w:cstheme="minorHAnsi"/>
        </w:rPr>
        <w:t xml:space="preserve"> j</w:t>
      </w:r>
      <w:r w:rsidRPr="00D75904">
        <w:rPr>
          <w:rFonts w:cstheme="minorHAnsi"/>
        </w:rPr>
        <w:t xml:space="preserve">e </w:t>
      </w:r>
      <w:r w:rsidR="00E2488E">
        <w:rPr>
          <w:rFonts w:cstheme="minorHAnsi"/>
        </w:rPr>
        <w:t>nezbytné</w:t>
      </w:r>
      <w:r w:rsidRPr="00D75904">
        <w:rPr>
          <w:rFonts w:cstheme="minorHAnsi"/>
        </w:rPr>
        <w:t xml:space="preserve"> si položit otázku</w:t>
      </w:r>
      <w:r w:rsidR="0054021A" w:rsidRPr="00D75904">
        <w:rPr>
          <w:rFonts w:cstheme="minorHAnsi"/>
        </w:rPr>
        <w:t xml:space="preserve"> </w:t>
      </w:r>
      <w:r w:rsidR="00D1750D" w:rsidRPr="00D75904">
        <w:rPr>
          <w:rFonts w:cstheme="minorHAnsi"/>
        </w:rPr>
        <w:t xml:space="preserve">o </w:t>
      </w:r>
      <w:r w:rsidR="0054021A" w:rsidRPr="00D75904">
        <w:rPr>
          <w:rFonts w:cstheme="minorHAnsi"/>
        </w:rPr>
        <w:t>dostatečn</w:t>
      </w:r>
      <w:r w:rsidR="00E2488E">
        <w:rPr>
          <w:rFonts w:cstheme="minorHAnsi"/>
        </w:rPr>
        <w:t>osti</w:t>
      </w:r>
      <w:r w:rsidR="0054021A" w:rsidRPr="00D75904">
        <w:rPr>
          <w:rFonts w:cstheme="minorHAnsi"/>
        </w:rPr>
        <w:t xml:space="preserve"> </w:t>
      </w:r>
      <w:proofErr w:type="spellStart"/>
      <w:r w:rsidR="0054021A" w:rsidRPr="00D75904">
        <w:rPr>
          <w:rFonts w:cstheme="minorHAnsi"/>
        </w:rPr>
        <w:t>dealflow</w:t>
      </w:r>
      <w:proofErr w:type="spellEnd"/>
      <w:r w:rsidR="0054021A" w:rsidRPr="00D75904">
        <w:rPr>
          <w:rFonts w:cstheme="minorHAnsi"/>
        </w:rPr>
        <w:t>, tedy skutečnost</w:t>
      </w:r>
      <w:r w:rsidR="00D1750D" w:rsidRPr="00D75904">
        <w:rPr>
          <w:rFonts w:cstheme="minorHAnsi"/>
        </w:rPr>
        <w:t>i</w:t>
      </w:r>
      <w:r w:rsidR="0054021A" w:rsidRPr="00D75904">
        <w:rPr>
          <w:rFonts w:cstheme="minorHAnsi"/>
        </w:rPr>
        <w:t xml:space="preserve">, </w:t>
      </w:r>
      <w:r w:rsidR="00E2488E">
        <w:rPr>
          <w:rFonts w:cstheme="minorHAnsi"/>
        </w:rPr>
        <w:t>zda</w:t>
      </w:r>
      <w:r w:rsidR="0054021A" w:rsidRPr="00D75904">
        <w:rPr>
          <w:rFonts w:cstheme="minorHAnsi"/>
        </w:rPr>
        <w:t xml:space="preserve"> v Česku vzniká </w:t>
      </w:r>
      <w:r w:rsidR="00E2488E">
        <w:rPr>
          <w:rFonts w:cstheme="minorHAnsi"/>
        </w:rPr>
        <w:t>dostatek</w:t>
      </w:r>
      <w:r w:rsidR="0054021A" w:rsidRPr="00D75904">
        <w:rPr>
          <w:rFonts w:cstheme="minorHAnsi"/>
        </w:rPr>
        <w:t xml:space="preserve"> technologických </w:t>
      </w:r>
      <w:proofErr w:type="spellStart"/>
      <w:r w:rsidR="0054021A" w:rsidRPr="00D75904">
        <w:rPr>
          <w:rFonts w:cstheme="minorHAnsi"/>
        </w:rPr>
        <w:t>startupů</w:t>
      </w:r>
      <w:proofErr w:type="spellEnd"/>
      <w:r w:rsidR="0054021A" w:rsidRPr="00D75904">
        <w:rPr>
          <w:rFonts w:cstheme="minorHAnsi"/>
        </w:rPr>
        <w:t xml:space="preserve"> připravených na investici</w:t>
      </w:r>
      <w:r w:rsidR="00E2488E">
        <w:rPr>
          <w:rFonts w:cstheme="minorHAnsi"/>
        </w:rPr>
        <w:t xml:space="preserve">. Jsou také dostatečné </w:t>
      </w:r>
      <w:r w:rsidR="00D75904" w:rsidRPr="00561E03">
        <w:rPr>
          <w:rFonts w:cstheme="minorHAnsi"/>
        </w:rPr>
        <w:t xml:space="preserve">kapacity pro </w:t>
      </w:r>
      <w:proofErr w:type="spellStart"/>
      <w:r w:rsidR="00D75904" w:rsidRPr="00561E03">
        <w:rPr>
          <w:rFonts w:cstheme="minorHAnsi"/>
        </w:rPr>
        <w:t>pre</w:t>
      </w:r>
      <w:proofErr w:type="spellEnd"/>
      <w:r w:rsidR="00D75904" w:rsidRPr="00561E03">
        <w:rPr>
          <w:rFonts w:cstheme="minorHAnsi"/>
        </w:rPr>
        <w:t>-inkubační a inkubační služby</w:t>
      </w:r>
      <w:r w:rsidR="00E2488E">
        <w:rPr>
          <w:rFonts w:cstheme="minorHAnsi"/>
        </w:rPr>
        <w:t>?</w:t>
      </w:r>
      <w:r w:rsidRPr="00D75904">
        <w:rPr>
          <w:rFonts w:cstheme="minorHAnsi"/>
        </w:rPr>
        <w:t xml:space="preserve"> </w:t>
      </w:r>
      <w:r w:rsidRPr="00D75904">
        <w:rPr>
          <w:rFonts w:cstheme="minorHAnsi"/>
        </w:rPr>
        <w:t xml:space="preserve">Dle </w:t>
      </w:r>
      <w:r w:rsidR="00E2488E">
        <w:rPr>
          <w:rFonts w:cstheme="minorHAnsi"/>
        </w:rPr>
        <w:t xml:space="preserve">některých </w:t>
      </w:r>
      <w:r w:rsidRPr="00D75904">
        <w:rPr>
          <w:rFonts w:cstheme="minorHAnsi"/>
        </w:rPr>
        <w:t xml:space="preserve">dosavadních zkušeností investičních fondů podpořených z veřejných prostředků se nedostatečné </w:t>
      </w:r>
      <w:proofErr w:type="spellStart"/>
      <w:r w:rsidRPr="00D75904">
        <w:rPr>
          <w:rFonts w:cstheme="minorHAnsi"/>
        </w:rPr>
        <w:t>dealflow</w:t>
      </w:r>
      <w:proofErr w:type="spellEnd"/>
      <w:r w:rsidRPr="00D75904">
        <w:rPr>
          <w:rFonts w:cstheme="minorHAnsi"/>
        </w:rPr>
        <w:t xml:space="preserve"> opakovaně ukazuje jako hlavní slabina. Samo zvýšení objemu dostupného kapitálu tento problém neodstraní.</w:t>
      </w:r>
    </w:p>
    <w:p w:rsidR="00F00037" w:rsidRPr="00D75904" w:rsidRDefault="00F00037" w:rsidP="00707496">
      <w:pPr>
        <w:pStyle w:val="Odstavecseseznamem"/>
        <w:numPr>
          <w:ilvl w:val="0"/>
          <w:numId w:val="3"/>
        </w:numPr>
        <w:ind w:left="426"/>
        <w:jc w:val="both"/>
        <w:rPr>
          <w:rFonts w:ascii="Times New Roman" w:hAnsi="Times New Roman" w:cs="Times New Roman"/>
          <w:b/>
        </w:rPr>
      </w:pPr>
      <w:r w:rsidRPr="00D75904">
        <w:rPr>
          <w:rFonts w:ascii="Calibri" w:eastAsia="Calibri" w:hAnsi="Calibri" w:cs="Calibri"/>
        </w:rPr>
        <w:t xml:space="preserve">ČR přistoupila dne 19. března </w:t>
      </w:r>
      <w:r w:rsidR="00D75904">
        <w:rPr>
          <w:rFonts w:ascii="Calibri" w:eastAsia="Calibri" w:hAnsi="Calibri" w:cs="Calibri"/>
        </w:rPr>
        <w:t xml:space="preserve">2021 </w:t>
      </w:r>
      <w:r w:rsidRPr="00D75904">
        <w:rPr>
          <w:rFonts w:ascii="Calibri" w:eastAsia="Calibri" w:hAnsi="Calibri" w:cs="Calibri"/>
        </w:rPr>
        <w:t xml:space="preserve">k evropské deklaraci </w:t>
      </w:r>
      <w:hyperlink r:id="rId5" w:history="1">
        <w:r w:rsidRPr="00D75904">
          <w:rPr>
            <w:rStyle w:val="Hypertextovodkaz"/>
            <w:rFonts w:ascii="Calibri" w:eastAsia="Calibri" w:hAnsi="Calibri" w:cs="Calibri"/>
          </w:rPr>
          <w:t xml:space="preserve">EU </w:t>
        </w:r>
        <w:proofErr w:type="spellStart"/>
        <w:r w:rsidRPr="00D75904">
          <w:rPr>
            <w:rStyle w:val="Hypertextovodkaz"/>
            <w:rFonts w:ascii="Calibri" w:eastAsia="Calibri" w:hAnsi="Calibri" w:cs="Calibri"/>
          </w:rPr>
          <w:t>Startup</w:t>
        </w:r>
        <w:proofErr w:type="spellEnd"/>
        <w:r w:rsidRPr="00D75904">
          <w:rPr>
            <w:rStyle w:val="Hypertextovodkaz"/>
            <w:rFonts w:ascii="Calibri" w:eastAsia="Calibri" w:hAnsi="Calibri" w:cs="Calibri"/>
          </w:rPr>
          <w:t xml:space="preserve"> </w:t>
        </w:r>
        <w:proofErr w:type="spellStart"/>
        <w:r w:rsidRPr="00D75904">
          <w:rPr>
            <w:rStyle w:val="Hypertextovodkaz"/>
            <w:rFonts w:ascii="Calibri" w:eastAsia="Calibri" w:hAnsi="Calibri" w:cs="Calibri"/>
          </w:rPr>
          <w:t>Nations</w:t>
        </w:r>
        <w:proofErr w:type="spellEnd"/>
        <w:r w:rsidRPr="00D75904">
          <w:rPr>
            <w:rStyle w:val="Hypertextovodkaz"/>
            <w:rFonts w:ascii="Calibri" w:eastAsia="Calibri" w:hAnsi="Calibri" w:cs="Calibri"/>
          </w:rPr>
          <w:t xml:space="preserve"> Standard</w:t>
        </w:r>
      </w:hyperlink>
      <w:r w:rsidRPr="00D75904">
        <w:rPr>
          <w:rFonts w:ascii="Calibri" w:eastAsia="Calibri" w:hAnsi="Calibri" w:cs="Calibri"/>
        </w:rPr>
        <w:t xml:space="preserve">, která obsahuje řadu oblastí a aktivit doporučených pro podporu rozvoje </w:t>
      </w:r>
      <w:proofErr w:type="spellStart"/>
      <w:r w:rsidRPr="00D75904">
        <w:rPr>
          <w:rFonts w:ascii="Calibri" w:eastAsia="Calibri" w:hAnsi="Calibri" w:cs="Calibri"/>
        </w:rPr>
        <w:t>startupového</w:t>
      </w:r>
      <w:proofErr w:type="spellEnd"/>
      <w:r w:rsidRPr="00D75904">
        <w:rPr>
          <w:rFonts w:ascii="Calibri" w:eastAsia="Calibri" w:hAnsi="Calibri" w:cs="Calibri"/>
        </w:rPr>
        <w:t xml:space="preserve"> </w:t>
      </w:r>
      <w:proofErr w:type="spellStart"/>
      <w:r w:rsidRPr="00D75904">
        <w:rPr>
          <w:rFonts w:ascii="Calibri" w:eastAsia="Calibri" w:hAnsi="Calibri" w:cs="Calibri"/>
        </w:rPr>
        <w:t>ekosytému</w:t>
      </w:r>
      <w:proofErr w:type="spellEnd"/>
      <w:r w:rsidRPr="00D75904">
        <w:rPr>
          <w:rFonts w:ascii="Calibri" w:eastAsia="Calibri" w:hAnsi="Calibri" w:cs="Calibri"/>
        </w:rPr>
        <w:t>.</w:t>
      </w:r>
    </w:p>
    <w:p w:rsidR="00C52A03" w:rsidRPr="0005128B" w:rsidRDefault="0005128B" w:rsidP="002A68E5">
      <w:pPr>
        <w:rPr>
          <w:rFonts w:cstheme="minorHAnsi"/>
          <w:b/>
          <w:bCs/>
          <w:u w:val="single"/>
        </w:rPr>
      </w:pPr>
      <w:r w:rsidRPr="0005128B">
        <w:rPr>
          <w:rFonts w:cstheme="minorHAnsi"/>
          <w:b/>
          <w:bCs/>
          <w:u w:val="single"/>
        </w:rPr>
        <w:t>Základní prvky veřejné podpory</w:t>
      </w:r>
      <w:r w:rsidR="00FD74A5">
        <w:rPr>
          <w:rFonts w:cstheme="minorHAnsi"/>
          <w:b/>
          <w:bCs/>
          <w:u w:val="single"/>
        </w:rPr>
        <w:t xml:space="preserve"> v ČR</w:t>
      </w:r>
    </w:p>
    <w:p w:rsidR="005D2D69" w:rsidRPr="0005128B" w:rsidRDefault="005D2D69" w:rsidP="005D422B">
      <w:pPr>
        <w:autoSpaceDE w:val="0"/>
        <w:autoSpaceDN w:val="0"/>
        <w:adjustRightInd w:val="0"/>
        <w:spacing w:after="0" w:line="240" w:lineRule="auto"/>
        <w:jc w:val="both"/>
        <w:rPr>
          <w:rFonts w:cstheme="minorHAnsi"/>
          <w:b/>
        </w:rPr>
      </w:pPr>
      <w:r w:rsidRPr="0005128B">
        <w:rPr>
          <w:rFonts w:cstheme="minorHAnsi"/>
          <w:b/>
        </w:rPr>
        <w:t>OP PIK</w:t>
      </w:r>
    </w:p>
    <w:p w:rsidR="00707496" w:rsidRDefault="005D2D69" w:rsidP="00707496">
      <w:pPr>
        <w:jc w:val="both"/>
      </w:pPr>
      <w:r w:rsidRPr="0005128B">
        <w:t>Fondy EU neposkytují pouze dotace. Finanční nástroje mají nejčastěji podobu</w:t>
      </w:r>
      <w:r w:rsidR="00707496">
        <w:t>:</w:t>
      </w:r>
    </w:p>
    <w:p w:rsidR="00707496" w:rsidRDefault="005D2D69" w:rsidP="00707496">
      <w:pPr>
        <w:pStyle w:val="Odstavecseseznamem"/>
        <w:numPr>
          <w:ilvl w:val="0"/>
          <w:numId w:val="4"/>
        </w:numPr>
        <w:jc w:val="both"/>
      </w:pPr>
      <w:hyperlink r:id="rId6" w:history="1">
        <w:r w:rsidRPr="0005128B">
          <w:rPr>
            <w:rStyle w:val="Hypertextovodkaz"/>
          </w:rPr>
          <w:t>ú</w:t>
        </w:r>
        <w:r w:rsidRPr="0005128B">
          <w:rPr>
            <w:rStyle w:val="Hypertextovodkaz"/>
          </w:rPr>
          <w:t>věrů</w:t>
        </w:r>
      </w:hyperlink>
      <w:r w:rsidRPr="0005128B">
        <w:t xml:space="preserve"> (např. </w:t>
      </w:r>
      <w:r w:rsidRPr="00707496">
        <w:rPr>
          <w:b/>
        </w:rPr>
        <w:t xml:space="preserve">Program Expanze </w:t>
      </w:r>
      <w:r w:rsidR="007D158C" w:rsidRPr="00707496">
        <w:rPr>
          <w:b/>
        </w:rPr>
        <w:t>–</w:t>
      </w:r>
      <w:r w:rsidRPr="00707496">
        <w:rPr>
          <w:b/>
        </w:rPr>
        <w:t xml:space="preserve"> úvěry</w:t>
      </w:r>
      <w:r w:rsidR="007D158C" w:rsidRPr="0005128B">
        <w:t xml:space="preserve"> s</w:t>
      </w:r>
      <w:r w:rsidRPr="0005128B">
        <w:t xml:space="preserve"> podáním žádostí do 30. 6. 2023), </w:t>
      </w:r>
    </w:p>
    <w:p w:rsidR="00707496" w:rsidRDefault="005D2D69" w:rsidP="00707496">
      <w:pPr>
        <w:pStyle w:val="Odstavecseseznamem"/>
        <w:numPr>
          <w:ilvl w:val="0"/>
          <w:numId w:val="4"/>
        </w:numPr>
        <w:jc w:val="both"/>
      </w:pPr>
      <w:hyperlink r:id="rId7" w:history="1">
        <w:r w:rsidRPr="0005128B">
          <w:rPr>
            <w:rStyle w:val="Hypertextovodkaz"/>
          </w:rPr>
          <w:t>zár</w:t>
        </w:r>
        <w:r w:rsidRPr="0005128B">
          <w:rPr>
            <w:rStyle w:val="Hypertextovodkaz"/>
          </w:rPr>
          <w:t>u</w:t>
        </w:r>
        <w:r w:rsidRPr="0005128B">
          <w:rPr>
            <w:rStyle w:val="Hypertextovodkaz"/>
          </w:rPr>
          <w:t>k</w:t>
        </w:r>
      </w:hyperlink>
      <w:r w:rsidRPr="0005128B">
        <w:t xml:space="preserve"> (např. </w:t>
      </w:r>
      <w:r w:rsidRPr="00707496">
        <w:rPr>
          <w:b/>
        </w:rPr>
        <w:t>Program Expanze – záruky</w:t>
      </w:r>
      <w:r w:rsidRPr="0005128B">
        <w:t xml:space="preserve"> </w:t>
      </w:r>
      <w:r w:rsidR="007D158C" w:rsidRPr="0005128B">
        <w:t>s</w:t>
      </w:r>
      <w:r w:rsidRPr="0005128B">
        <w:t> podáním žádostí do 30. 6. 2023)</w:t>
      </w:r>
      <w:r w:rsidR="007D158C" w:rsidRPr="0005128B">
        <w:t xml:space="preserve"> </w:t>
      </w:r>
      <w:r w:rsidRPr="0005128B">
        <w:t xml:space="preserve"> a </w:t>
      </w:r>
    </w:p>
    <w:p w:rsidR="008C331C" w:rsidRPr="0005128B" w:rsidRDefault="0005128B" w:rsidP="00707496">
      <w:pPr>
        <w:pStyle w:val="Odstavecseseznamem"/>
        <w:numPr>
          <w:ilvl w:val="0"/>
          <w:numId w:val="4"/>
        </w:numPr>
        <w:jc w:val="both"/>
      </w:pPr>
      <w:hyperlink r:id="rId8" w:history="1">
        <w:r w:rsidR="005D2D69" w:rsidRPr="0005128B">
          <w:rPr>
            <w:rStyle w:val="Hypertextovodkaz"/>
          </w:rPr>
          <w:t>kapitálovýc</w:t>
        </w:r>
        <w:r w:rsidR="005D2D69" w:rsidRPr="0005128B">
          <w:rPr>
            <w:rStyle w:val="Hypertextovodkaz"/>
          </w:rPr>
          <w:t>h</w:t>
        </w:r>
        <w:r w:rsidR="005D2D69" w:rsidRPr="0005128B">
          <w:rPr>
            <w:rStyle w:val="Hypertextovodkaz"/>
          </w:rPr>
          <w:t xml:space="preserve"> </w:t>
        </w:r>
        <w:r w:rsidR="005D2D69" w:rsidRPr="0005128B">
          <w:rPr>
            <w:rStyle w:val="Hypertextovodkaz"/>
          </w:rPr>
          <w:t>v</w:t>
        </w:r>
        <w:r w:rsidR="005D2D69" w:rsidRPr="0005128B">
          <w:rPr>
            <w:rStyle w:val="Hypertextovodkaz"/>
          </w:rPr>
          <w:t>s</w:t>
        </w:r>
        <w:r w:rsidR="005D2D69" w:rsidRPr="0005128B">
          <w:rPr>
            <w:rStyle w:val="Hypertextovodkaz"/>
          </w:rPr>
          <w:t>t</w:t>
        </w:r>
        <w:r w:rsidR="005D2D69" w:rsidRPr="0005128B">
          <w:rPr>
            <w:rStyle w:val="Hypertextovodkaz"/>
          </w:rPr>
          <w:t>upů</w:t>
        </w:r>
      </w:hyperlink>
      <w:r w:rsidR="005D2D69" w:rsidRPr="0005128B">
        <w:t xml:space="preserve"> (např. </w:t>
      </w:r>
      <w:r w:rsidR="005D2D69" w:rsidRPr="00707496">
        <w:rPr>
          <w:b/>
        </w:rPr>
        <w:t>Fond fondů OP PIK</w:t>
      </w:r>
      <w:r w:rsidR="008C331C" w:rsidRPr="0005128B">
        <w:t xml:space="preserve"> v rámci programu Rizikový kapitál</w:t>
      </w:r>
      <w:r w:rsidR="005D2D69" w:rsidRPr="0005128B">
        <w:t xml:space="preserve"> spravuje prostředky OP PIK, EIF a soukromých investorů</w:t>
      </w:r>
      <w:r w:rsidR="007D158C" w:rsidRPr="0005128B">
        <w:t xml:space="preserve">. Výběr fondů byl uzavřen na konci roku 2018. Na jeho základě vznikly dva samostatně působící investiční fondy: </w:t>
      </w:r>
      <w:proofErr w:type="spellStart"/>
      <w:r w:rsidR="007D158C" w:rsidRPr="00707496">
        <w:t>Nation</w:t>
      </w:r>
      <w:proofErr w:type="spellEnd"/>
      <w:r w:rsidR="007D158C" w:rsidRPr="00707496">
        <w:t xml:space="preserve"> 1 </w:t>
      </w:r>
      <w:proofErr w:type="spellStart"/>
      <w:r w:rsidR="007D158C" w:rsidRPr="00707496">
        <w:t>Fund</w:t>
      </w:r>
      <w:proofErr w:type="spellEnd"/>
      <w:r w:rsidR="007D158C" w:rsidRPr="0005128B">
        <w:t xml:space="preserve"> a </w:t>
      </w:r>
      <w:proofErr w:type="spellStart"/>
      <w:r w:rsidR="007D158C" w:rsidRPr="00707496">
        <w:t>Lighthouse</w:t>
      </w:r>
      <w:proofErr w:type="spellEnd"/>
      <w:r w:rsidR="007D158C" w:rsidRPr="00707496">
        <w:t xml:space="preserve"> </w:t>
      </w:r>
      <w:proofErr w:type="spellStart"/>
      <w:r w:rsidR="007D158C" w:rsidRPr="00707496">
        <w:t>Ventures</w:t>
      </w:r>
      <w:proofErr w:type="spellEnd"/>
      <w:r w:rsidR="007D158C" w:rsidRPr="0005128B">
        <w:t xml:space="preserve">. Investiční období, během kterého se mohou společnosti ucházet o financování, je stanoveno do konce roku 2023. Fondy nabízí začínajícím podnikatelům nejen možnost získat kapitálovou investici do rozvoje jejich podnikání, ale též doprovodné poradenství a </w:t>
      </w:r>
      <w:proofErr w:type="spellStart"/>
      <w:r w:rsidR="007D158C" w:rsidRPr="0005128B">
        <w:t>mentoring</w:t>
      </w:r>
      <w:proofErr w:type="spellEnd"/>
      <w:r w:rsidR="007D158C" w:rsidRPr="0005128B">
        <w:t>, včetně akceleračního programu zaměřeného na projekty v nejranější fázi.</w:t>
      </w:r>
      <w:r w:rsidR="00707496">
        <w:t xml:space="preserve"> </w:t>
      </w:r>
      <w:r w:rsidR="00707496">
        <w:br/>
        <w:t>Z </w:t>
      </w:r>
      <w:proofErr w:type="gramStart"/>
      <w:r w:rsidR="00707496">
        <w:t>OP</w:t>
      </w:r>
      <w:proofErr w:type="gramEnd"/>
      <w:r w:rsidR="00707496">
        <w:t xml:space="preserve"> PIK byl podpořen také </w:t>
      </w:r>
      <w:r w:rsidR="00707496" w:rsidRPr="00707496">
        <w:rPr>
          <w:b/>
        </w:rPr>
        <w:t>IPO Fond</w:t>
      </w:r>
      <w:r w:rsidR="00707496">
        <w:t xml:space="preserve"> -</w:t>
      </w:r>
      <w:hyperlink r:id="rId9" w:history="1">
        <w:r w:rsidR="00707496" w:rsidRPr="00707496">
          <w:rPr>
            <w:rStyle w:val="Hypertextovodkaz"/>
            <w:color w:val="000000" w:themeColor="text1"/>
          </w:rPr>
          <w:t>IPO F</w:t>
        </w:r>
        <w:r w:rsidR="00707496" w:rsidRPr="00707496">
          <w:rPr>
            <w:rStyle w:val="Hypertextovodkaz"/>
            <w:color w:val="000000" w:themeColor="text1"/>
          </w:rPr>
          <w:t>o</w:t>
        </w:r>
        <w:r w:rsidR="00707496" w:rsidRPr="00707496">
          <w:rPr>
            <w:rStyle w:val="Hypertextovodkaz"/>
            <w:color w:val="000000" w:themeColor="text1"/>
          </w:rPr>
          <w:t>n</w:t>
        </w:r>
        <w:r w:rsidR="00707496" w:rsidRPr="00707496">
          <w:rPr>
            <w:rStyle w:val="Hypertextovodkaz"/>
            <w:color w:val="000000" w:themeColor="text1"/>
          </w:rPr>
          <w:t>d</w:t>
        </w:r>
      </w:hyperlink>
      <w:r w:rsidR="00707496" w:rsidRPr="00707496">
        <w:t xml:space="preserve"> je určen malým a středním podnikům působícím na území ČR, které plánují získat kapitál na svůj další rozvoj formou emise akcií a jejich přijetí k obchodování na mnohostranném obchodním systému. Poskytovatel</w:t>
      </w:r>
      <w:r w:rsidR="00707496">
        <w:t>em je</w:t>
      </w:r>
      <w:r w:rsidR="00707496" w:rsidRPr="00707496">
        <w:t xml:space="preserve"> Národní rozvojová banka (Národní rozvojová investiční, a.s.) Příjem žádostí </w:t>
      </w:r>
      <w:r w:rsidR="00707496">
        <w:t>se plánuje do</w:t>
      </w:r>
      <w:r w:rsidR="00707496" w:rsidRPr="00707496">
        <w:t xml:space="preserve"> 30. 6. 2023</w:t>
      </w:r>
      <w:r w:rsidR="00707496">
        <w:t>.</w:t>
      </w:r>
      <w:r w:rsidR="007D158C" w:rsidRPr="0005128B">
        <w:t>)</w:t>
      </w:r>
      <w:r w:rsidR="008C331C" w:rsidRPr="0005128B">
        <w:t xml:space="preserve"> </w:t>
      </w:r>
    </w:p>
    <w:p w:rsidR="0052244A" w:rsidRPr="0005128B" w:rsidRDefault="00707496" w:rsidP="0052244A">
      <w:pPr>
        <w:pStyle w:val="article-perex"/>
        <w:rPr>
          <w:rFonts w:asciiTheme="minorHAnsi" w:hAnsiTheme="minorHAnsi" w:cstheme="minorHAnsi"/>
          <w:sz w:val="22"/>
          <w:szCs w:val="22"/>
        </w:rPr>
      </w:pPr>
      <w:r w:rsidRPr="00707496">
        <w:rPr>
          <w:rFonts w:asciiTheme="minorHAnsi" w:eastAsiaTheme="minorHAnsi" w:hAnsiTheme="minorHAnsi" w:cstheme="minorHAnsi"/>
          <w:b/>
          <w:sz w:val="22"/>
          <w:szCs w:val="22"/>
          <w:lang w:eastAsia="en-US"/>
        </w:rPr>
        <w:t>Středoevropský fond fondů</w:t>
      </w:r>
      <w:r w:rsidRPr="0005128B">
        <w:rPr>
          <w:rFonts w:asciiTheme="minorHAnsi" w:eastAsia="Calibri" w:hAnsiTheme="minorHAnsi" w:cstheme="minorHAnsi"/>
          <w:sz w:val="22"/>
          <w:szCs w:val="22"/>
        </w:rPr>
        <w:t xml:space="preserve"> </w:t>
      </w:r>
      <w:r>
        <w:rPr>
          <w:rFonts w:asciiTheme="minorHAnsi" w:eastAsia="Calibri" w:hAnsiTheme="minorHAnsi" w:cstheme="minorHAnsi"/>
          <w:sz w:val="22"/>
          <w:szCs w:val="22"/>
        </w:rPr>
        <w:t xml:space="preserve">- </w:t>
      </w:r>
      <w:r w:rsidR="006F770E" w:rsidRPr="0005128B">
        <w:rPr>
          <w:rFonts w:asciiTheme="minorHAnsi" w:eastAsia="Calibri" w:hAnsiTheme="minorHAnsi" w:cstheme="minorHAnsi"/>
          <w:sz w:val="22"/>
          <w:szCs w:val="22"/>
        </w:rPr>
        <w:t>Dostupnost financování pro start-</w:t>
      </w:r>
      <w:proofErr w:type="spellStart"/>
      <w:r w:rsidR="006F770E" w:rsidRPr="0005128B">
        <w:rPr>
          <w:rFonts w:asciiTheme="minorHAnsi" w:eastAsia="Calibri" w:hAnsiTheme="minorHAnsi" w:cstheme="minorHAnsi"/>
          <w:sz w:val="22"/>
          <w:szCs w:val="22"/>
        </w:rPr>
        <w:t>upy</w:t>
      </w:r>
      <w:proofErr w:type="spellEnd"/>
      <w:r w:rsidR="006F770E" w:rsidRPr="0005128B">
        <w:rPr>
          <w:rFonts w:asciiTheme="minorHAnsi" w:eastAsia="Calibri" w:hAnsiTheme="minorHAnsi" w:cstheme="minorHAnsi"/>
          <w:sz w:val="22"/>
          <w:szCs w:val="22"/>
        </w:rPr>
        <w:t xml:space="preserve"> a </w:t>
      </w:r>
      <w:proofErr w:type="spellStart"/>
      <w:r w:rsidR="006F770E" w:rsidRPr="0005128B">
        <w:rPr>
          <w:rFonts w:asciiTheme="minorHAnsi" w:eastAsia="Calibri" w:hAnsiTheme="minorHAnsi" w:cstheme="minorHAnsi"/>
          <w:sz w:val="22"/>
          <w:szCs w:val="22"/>
        </w:rPr>
        <w:t>scale-upy</w:t>
      </w:r>
      <w:proofErr w:type="spellEnd"/>
      <w:r w:rsidR="006F770E" w:rsidRPr="0005128B">
        <w:rPr>
          <w:rFonts w:asciiTheme="minorHAnsi" w:eastAsia="Calibri" w:hAnsiTheme="minorHAnsi" w:cstheme="minorHAnsi"/>
          <w:sz w:val="22"/>
          <w:szCs w:val="22"/>
        </w:rPr>
        <w:t xml:space="preserve"> adresoval se zapojením </w:t>
      </w:r>
      <w:r w:rsidRPr="0005128B">
        <w:rPr>
          <w:rFonts w:asciiTheme="minorHAnsi" w:eastAsia="Calibri" w:hAnsiTheme="minorHAnsi" w:cstheme="minorHAnsi"/>
          <w:sz w:val="22"/>
          <w:szCs w:val="22"/>
        </w:rPr>
        <w:t>EIF</w:t>
      </w:r>
      <w:r w:rsidRPr="0005128B">
        <w:rPr>
          <w:rFonts w:asciiTheme="minorHAnsi" w:eastAsia="Calibri" w:hAnsiTheme="minorHAnsi" w:cstheme="minorHAnsi"/>
          <w:sz w:val="22"/>
          <w:szCs w:val="22"/>
        </w:rPr>
        <w:t xml:space="preserve"> </w:t>
      </w:r>
      <w:r>
        <w:rPr>
          <w:rFonts w:asciiTheme="minorHAnsi" w:eastAsia="Calibri" w:hAnsiTheme="minorHAnsi" w:cstheme="minorHAnsi"/>
          <w:sz w:val="22"/>
          <w:szCs w:val="22"/>
        </w:rPr>
        <w:t xml:space="preserve">a </w:t>
      </w:r>
      <w:r w:rsidR="006F770E" w:rsidRPr="0005128B">
        <w:rPr>
          <w:rFonts w:asciiTheme="minorHAnsi" w:eastAsia="Calibri" w:hAnsiTheme="minorHAnsi" w:cstheme="minorHAnsi"/>
          <w:sz w:val="22"/>
          <w:szCs w:val="22"/>
        </w:rPr>
        <w:t xml:space="preserve">MPO </w:t>
      </w:r>
      <w:r w:rsidR="0052244A" w:rsidRPr="0005128B">
        <w:rPr>
          <w:rFonts w:asciiTheme="minorHAnsi" w:eastAsia="Calibri" w:hAnsiTheme="minorHAnsi" w:cstheme="minorHAnsi"/>
          <w:sz w:val="22"/>
          <w:szCs w:val="22"/>
        </w:rPr>
        <w:t xml:space="preserve">dříve </w:t>
      </w:r>
      <w:r w:rsidR="006F770E" w:rsidRPr="0005128B">
        <w:rPr>
          <w:rFonts w:asciiTheme="minorHAnsi" w:eastAsia="Calibri" w:hAnsiTheme="minorHAnsi" w:cstheme="minorHAnsi"/>
          <w:sz w:val="22"/>
          <w:szCs w:val="22"/>
        </w:rPr>
        <w:t>též Středoevropský fond fondů, v </w:t>
      </w:r>
      <w:r>
        <w:rPr>
          <w:rFonts w:asciiTheme="minorHAnsi" w:eastAsia="Calibri" w:hAnsiTheme="minorHAnsi" w:cstheme="minorHAnsi"/>
          <w:sz w:val="22"/>
          <w:szCs w:val="22"/>
        </w:rPr>
        <w:t>rámci</w:t>
      </w:r>
      <w:r w:rsidR="006F770E" w:rsidRPr="0005128B">
        <w:rPr>
          <w:rFonts w:asciiTheme="minorHAnsi" w:eastAsia="Calibri" w:hAnsiTheme="minorHAnsi" w:cstheme="minorHAnsi"/>
          <w:sz w:val="22"/>
          <w:szCs w:val="22"/>
        </w:rPr>
        <w:t xml:space="preserve"> kterého byly podpořeny na českém trhu fondy </w:t>
      </w:r>
      <w:proofErr w:type="spellStart"/>
      <w:r w:rsidR="006F770E" w:rsidRPr="0005128B">
        <w:rPr>
          <w:rFonts w:asciiTheme="minorHAnsi" w:eastAsia="Calibri" w:hAnsiTheme="minorHAnsi" w:cstheme="minorHAnsi"/>
          <w:sz w:val="22"/>
          <w:szCs w:val="22"/>
        </w:rPr>
        <w:t>Espira</w:t>
      </w:r>
      <w:proofErr w:type="spellEnd"/>
      <w:r w:rsidR="006F770E" w:rsidRPr="0005128B">
        <w:rPr>
          <w:rFonts w:asciiTheme="minorHAnsi" w:eastAsia="Calibri" w:hAnsiTheme="minorHAnsi" w:cstheme="minorHAnsi"/>
          <w:sz w:val="22"/>
          <w:szCs w:val="22"/>
        </w:rPr>
        <w:t xml:space="preserve">, ENERN </w:t>
      </w:r>
      <w:proofErr w:type="spellStart"/>
      <w:r w:rsidR="006F770E" w:rsidRPr="0005128B">
        <w:rPr>
          <w:rFonts w:asciiTheme="minorHAnsi" w:eastAsia="Calibri" w:hAnsiTheme="minorHAnsi" w:cstheme="minorHAnsi"/>
          <w:sz w:val="22"/>
          <w:szCs w:val="22"/>
        </w:rPr>
        <w:t>Tech</w:t>
      </w:r>
      <w:proofErr w:type="spellEnd"/>
      <w:r w:rsidR="006F770E" w:rsidRPr="0005128B">
        <w:rPr>
          <w:rFonts w:asciiTheme="minorHAnsi" w:eastAsia="Calibri" w:hAnsiTheme="minorHAnsi" w:cstheme="minorHAnsi"/>
          <w:sz w:val="22"/>
          <w:szCs w:val="22"/>
        </w:rPr>
        <w:t xml:space="preserve">, GENESIS </w:t>
      </w:r>
      <w:proofErr w:type="spellStart"/>
      <w:r w:rsidR="006F770E" w:rsidRPr="0005128B">
        <w:rPr>
          <w:rFonts w:asciiTheme="minorHAnsi" w:eastAsia="Calibri" w:hAnsiTheme="minorHAnsi" w:cstheme="minorHAnsi"/>
          <w:sz w:val="22"/>
          <w:szCs w:val="22"/>
        </w:rPr>
        <w:t>Growth</w:t>
      </w:r>
      <w:proofErr w:type="spellEnd"/>
      <w:r w:rsidR="006F770E" w:rsidRPr="0005128B">
        <w:rPr>
          <w:rFonts w:asciiTheme="minorHAnsi" w:eastAsia="Calibri" w:hAnsiTheme="minorHAnsi" w:cstheme="minorHAnsi"/>
          <w:sz w:val="22"/>
          <w:szCs w:val="22"/>
        </w:rPr>
        <w:t xml:space="preserve"> či </w:t>
      </w:r>
      <w:proofErr w:type="spellStart"/>
      <w:r w:rsidR="006F770E" w:rsidRPr="0005128B">
        <w:rPr>
          <w:rFonts w:asciiTheme="minorHAnsi" w:eastAsia="Calibri" w:hAnsiTheme="minorHAnsi" w:cstheme="minorHAnsi"/>
          <w:sz w:val="22"/>
          <w:szCs w:val="22"/>
        </w:rPr>
        <w:t>Sandberg</w:t>
      </w:r>
      <w:proofErr w:type="spellEnd"/>
      <w:r w:rsidR="006F770E" w:rsidRPr="0005128B">
        <w:rPr>
          <w:rFonts w:asciiTheme="minorHAnsi" w:eastAsia="Calibri" w:hAnsiTheme="minorHAnsi" w:cstheme="minorHAnsi"/>
          <w:sz w:val="22"/>
          <w:szCs w:val="22"/>
        </w:rPr>
        <w:t>.</w:t>
      </w:r>
      <w:r w:rsidR="0052244A" w:rsidRPr="0005128B">
        <w:rPr>
          <w:rFonts w:asciiTheme="minorHAnsi" w:eastAsia="Calibri" w:hAnsiTheme="minorHAnsi" w:cstheme="minorHAnsi"/>
          <w:sz w:val="22"/>
          <w:szCs w:val="22"/>
        </w:rPr>
        <w:t xml:space="preserve"> </w:t>
      </w:r>
      <w:r w:rsidR="0052244A" w:rsidRPr="0005128B">
        <w:rPr>
          <w:rFonts w:asciiTheme="minorHAnsi" w:hAnsiTheme="minorHAnsi" w:cstheme="minorHAnsi"/>
          <w:sz w:val="22"/>
          <w:szCs w:val="22"/>
        </w:rPr>
        <w:t>Středoevropský fond fondů tak přes vybrané fondy nabíd</w:t>
      </w:r>
      <w:r>
        <w:rPr>
          <w:rFonts w:asciiTheme="minorHAnsi" w:hAnsiTheme="minorHAnsi" w:cstheme="minorHAnsi"/>
          <w:sz w:val="22"/>
          <w:szCs w:val="22"/>
        </w:rPr>
        <w:t>l</w:t>
      </w:r>
      <w:r w:rsidR="0052244A" w:rsidRPr="0005128B">
        <w:rPr>
          <w:rFonts w:asciiTheme="minorHAnsi" w:hAnsiTheme="minorHAnsi" w:cstheme="minorHAnsi"/>
          <w:sz w:val="22"/>
          <w:szCs w:val="22"/>
        </w:rPr>
        <w:t xml:space="preserve"> podporu pro růstově orientované české firmy, resp. firmy v regionu střední Evropy, které potřebují a shánějí kapitál na svůj další rozvoj. To znamená například na rozšíření výroby, expanzi na nové trhy či realizaci klíčových projektů nezbytných pro další růst apod. Cílovou skupinou jsou malé a střední podniky a menší </w:t>
      </w:r>
      <w:proofErr w:type="spellStart"/>
      <w:r w:rsidR="0052244A" w:rsidRPr="0005128B">
        <w:rPr>
          <w:rFonts w:asciiTheme="minorHAnsi" w:hAnsiTheme="minorHAnsi" w:cstheme="minorHAnsi"/>
          <w:sz w:val="22"/>
          <w:szCs w:val="22"/>
        </w:rPr>
        <w:t>mid</w:t>
      </w:r>
      <w:proofErr w:type="spellEnd"/>
      <w:r w:rsidR="0052244A" w:rsidRPr="0005128B">
        <w:rPr>
          <w:rFonts w:asciiTheme="minorHAnsi" w:hAnsiTheme="minorHAnsi" w:cstheme="minorHAnsi"/>
          <w:sz w:val="22"/>
          <w:szCs w:val="22"/>
        </w:rPr>
        <w:t>-cap společnosti ve fázi „</w:t>
      </w:r>
      <w:proofErr w:type="spellStart"/>
      <w:r w:rsidR="0052244A" w:rsidRPr="0005128B">
        <w:rPr>
          <w:rFonts w:asciiTheme="minorHAnsi" w:hAnsiTheme="minorHAnsi" w:cstheme="minorHAnsi"/>
          <w:sz w:val="22"/>
          <w:szCs w:val="22"/>
        </w:rPr>
        <w:t>later</w:t>
      </w:r>
      <w:proofErr w:type="spellEnd"/>
      <w:r w:rsidR="0052244A" w:rsidRPr="0005128B">
        <w:rPr>
          <w:rFonts w:asciiTheme="minorHAnsi" w:hAnsiTheme="minorHAnsi" w:cstheme="minorHAnsi"/>
          <w:sz w:val="22"/>
          <w:szCs w:val="22"/>
        </w:rPr>
        <w:t xml:space="preserve"> </w:t>
      </w:r>
      <w:proofErr w:type="spellStart"/>
      <w:r w:rsidR="0052244A" w:rsidRPr="0005128B">
        <w:rPr>
          <w:rFonts w:asciiTheme="minorHAnsi" w:hAnsiTheme="minorHAnsi" w:cstheme="minorHAnsi"/>
          <w:sz w:val="22"/>
          <w:szCs w:val="22"/>
        </w:rPr>
        <w:t>stage</w:t>
      </w:r>
      <w:proofErr w:type="spellEnd"/>
      <w:r w:rsidR="0052244A" w:rsidRPr="0005128B">
        <w:rPr>
          <w:rFonts w:asciiTheme="minorHAnsi" w:hAnsiTheme="minorHAnsi" w:cstheme="minorHAnsi"/>
          <w:sz w:val="22"/>
          <w:szCs w:val="22"/>
        </w:rPr>
        <w:t>“ či „</w:t>
      </w:r>
      <w:proofErr w:type="spellStart"/>
      <w:r w:rsidR="0052244A" w:rsidRPr="0005128B">
        <w:rPr>
          <w:rFonts w:asciiTheme="minorHAnsi" w:hAnsiTheme="minorHAnsi" w:cstheme="minorHAnsi"/>
          <w:sz w:val="22"/>
          <w:szCs w:val="22"/>
        </w:rPr>
        <w:t>growth</w:t>
      </w:r>
      <w:proofErr w:type="spellEnd"/>
      <w:r w:rsidR="0052244A" w:rsidRPr="0005128B">
        <w:rPr>
          <w:rFonts w:asciiTheme="minorHAnsi" w:hAnsiTheme="minorHAnsi" w:cstheme="minorHAnsi"/>
          <w:sz w:val="22"/>
          <w:szCs w:val="22"/>
        </w:rPr>
        <w:t>“.</w:t>
      </w:r>
      <w:r w:rsidR="0052244A" w:rsidRPr="0005128B">
        <w:rPr>
          <w:rFonts w:asciiTheme="minorHAnsi" w:hAnsiTheme="minorHAnsi" w:cstheme="minorHAnsi"/>
          <w:sz w:val="22"/>
          <w:szCs w:val="22"/>
        </w:rPr>
        <w:t xml:space="preserve"> </w:t>
      </w:r>
      <w:r>
        <w:rPr>
          <w:rFonts w:asciiTheme="minorHAnsi" w:hAnsiTheme="minorHAnsi" w:cstheme="minorHAnsi"/>
          <w:sz w:val="22"/>
          <w:szCs w:val="22"/>
        </w:rPr>
        <w:t>MPO</w:t>
      </w:r>
      <w:r w:rsidR="0052244A" w:rsidRPr="0005128B">
        <w:rPr>
          <w:rFonts w:asciiTheme="minorHAnsi" w:hAnsiTheme="minorHAnsi" w:cstheme="minorHAnsi"/>
          <w:sz w:val="22"/>
          <w:szCs w:val="22"/>
        </w:rPr>
        <w:t xml:space="preserve"> vložilo do projektu prostřednictvím ČMZRB 8,2 milionů EUR.</w:t>
      </w:r>
    </w:p>
    <w:p w:rsidR="006F770E" w:rsidRDefault="006F770E" w:rsidP="00707496"/>
    <w:p w:rsidR="005D422B" w:rsidRPr="00707496" w:rsidRDefault="005D422B" w:rsidP="00707496"/>
    <w:p w:rsidR="005D2D69" w:rsidRPr="0005128B" w:rsidRDefault="007D158C" w:rsidP="005D422B">
      <w:pPr>
        <w:autoSpaceDE w:val="0"/>
        <w:autoSpaceDN w:val="0"/>
        <w:adjustRightInd w:val="0"/>
        <w:spacing w:after="0" w:line="240" w:lineRule="auto"/>
        <w:jc w:val="both"/>
        <w:rPr>
          <w:rFonts w:cstheme="minorHAnsi"/>
          <w:b/>
        </w:rPr>
      </w:pPr>
      <w:r w:rsidRPr="005D422B">
        <w:rPr>
          <w:rFonts w:cstheme="minorHAnsi"/>
          <w:b/>
        </w:rPr>
        <w:lastRenderedPageBreak/>
        <w:t>OP TAK</w:t>
      </w:r>
    </w:p>
    <w:p w:rsidR="005D422B" w:rsidRPr="005D422B" w:rsidRDefault="005D422B" w:rsidP="002A68E5">
      <w:pPr>
        <w:rPr>
          <w:rFonts w:cstheme="minorHAnsi"/>
        </w:rPr>
      </w:pPr>
      <w:r w:rsidRPr="005D422B">
        <w:rPr>
          <w:rFonts w:cstheme="minorHAnsi"/>
        </w:rPr>
        <w:t xml:space="preserve">Program ve specifickém cíli 1.1 zaměřeném na </w:t>
      </w:r>
      <w:proofErr w:type="spellStart"/>
      <w:r w:rsidRPr="005D422B">
        <w:rPr>
          <w:rFonts w:cstheme="minorHAnsi"/>
        </w:rPr>
        <w:t>VaVaI</w:t>
      </w:r>
      <w:proofErr w:type="spellEnd"/>
      <w:r w:rsidRPr="005D422B">
        <w:rPr>
          <w:rFonts w:cstheme="minorHAnsi"/>
        </w:rPr>
        <w:t xml:space="preserve"> nepočítá s využitím finančních nástrojů oproti SC 2.1 </w:t>
      </w:r>
      <w:proofErr w:type="gramStart"/>
      <w:r w:rsidRPr="005D422B">
        <w:rPr>
          <w:rFonts w:cstheme="minorHAnsi"/>
        </w:rPr>
        <w:t>zaměřeném</w:t>
      </w:r>
      <w:proofErr w:type="gramEnd"/>
      <w:r w:rsidRPr="005D422B">
        <w:rPr>
          <w:rFonts w:cstheme="minorHAnsi"/>
        </w:rPr>
        <w:t xml:space="preserve"> na MSP.</w:t>
      </w:r>
    </w:p>
    <w:p w:rsidR="002A68E5" w:rsidRPr="005D422B" w:rsidRDefault="00584A69" w:rsidP="005D422B">
      <w:pPr>
        <w:pStyle w:val="Odstavecseseznamem"/>
        <w:numPr>
          <w:ilvl w:val="0"/>
          <w:numId w:val="4"/>
        </w:numPr>
        <w:jc w:val="both"/>
        <w:rPr>
          <w:rFonts w:cstheme="minorHAnsi"/>
        </w:rPr>
      </w:pPr>
      <w:r w:rsidRPr="005D422B">
        <w:rPr>
          <w:rFonts w:cstheme="minorHAnsi"/>
          <w:b/>
        </w:rPr>
        <w:t>SC</w:t>
      </w:r>
      <w:r w:rsidR="005D422B">
        <w:rPr>
          <w:rFonts w:cstheme="minorHAnsi"/>
          <w:b/>
        </w:rPr>
        <w:t xml:space="preserve"> </w:t>
      </w:r>
      <w:r w:rsidRPr="005D422B">
        <w:rPr>
          <w:rFonts w:cstheme="minorHAnsi"/>
          <w:b/>
        </w:rPr>
        <w:t xml:space="preserve">1.1 </w:t>
      </w:r>
      <w:r w:rsidRPr="005D422B">
        <w:rPr>
          <w:rFonts w:cstheme="minorHAnsi"/>
          <w:b/>
          <w:bCs/>
        </w:rPr>
        <w:t>Rozvoj a posilování výzkumných a inovačních kapacit a zavádění pokročilých technologií</w:t>
      </w:r>
      <w:r w:rsidR="005D422B">
        <w:rPr>
          <w:rFonts w:cstheme="minorHAnsi"/>
          <w:b/>
          <w:bCs/>
        </w:rPr>
        <w:t xml:space="preserve"> </w:t>
      </w:r>
      <w:r w:rsidR="005D422B" w:rsidRPr="005D422B">
        <w:rPr>
          <w:rFonts w:cstheme="minorHAnsi"/>
          <w:bCs/>
        </w:rPr>
        <w:t>-</w:t>
      </w:r>
      <w:r w:rsidRPr="005D422B">
        <w:rPr>
          <w:rFonts w:cstheme="minorHAnsi"/>
          <w:bCs/>
        </w:rPr>
        <w:t xml:space="preserve"> </w:t>
      </w:r>
      <w:r w:rsidRPr="005D422B">
        <w:rPr>
          <w:rFonts w:cstheme="minorHAnsi"/>
        </w:rPr>
        <w:t>Využití finančních nástrojů:</w:t>
      </w:r>
      <w:r w:rsidRPr="005D422B">
        <w:rPr>
          <w:rFonts w:cstheme="minorHAnsi"/>
          <w:b/>
        </w:rPr>
        <w:t xml:space="preserve"> Na základě provedené tržní analýzy a zvážení všech souvisejících rizik se v rámci tohoto specifického cíle se nepředpokládá využití finančních nástrojů, a to primárně z důvodu charakteru projektů zaměřených na výzkum a vývoj</w:t>
      </w:r>
      <w:r w:rsidRPr="005D422B">
        <w:rPr>
          <w:rFonts w:cstheme="minorHAnsi"/>
        </w:rPr>
        <w:t xml:space="preserve"> (např. ve smyslu doby návratnosti či rizikovosti projektů). Pro všechny realizované aktivity tak bude využita nenávratná forma podpory.</w:t>
      </w:r>
    </w:p>
    <w:p w:rsidR="00584A69" w:rsidRPr="005D422B" w:rsidRDefault="00584A69" w:rsidP="004630E2">
      <w:pPr>
        <w:pStyle w:val="Default"/>
        <w:numPr>
          <w:ilvl w:val="0"/>
          <w:numId w:val="4"/>
        </w:numPr>
        <w:jc w:val="both"/>
        <w:rPr>
          <w:rFonts w:asciiTheme="minorHAnsi" w:hAnsiTheme="minorHAnsi" w:cstheme="minorHAnsi"/>
          <w:sz w:val="22"/>
          <w:szCs w:val="22"/>
        </w:rPr>
      </w:pPr>
      <w:r w:rsidRPr="005D422B">
        <w:rPr>
          <w:rFonts w:asciiTheme="minorHAnsi" w:hAnsiTheme="minorHAnsi" w:cstheme="minorHAnsi"/>
          <w:b/>
          <w:sz w:val="22"/>
          <w:szCs w:val="22"/>
        </w:rPr>
        <w:t xml:space="preserve">SC </w:t>
      </w:r>
      <w:r w:rsidRPr="005D422B">
        <w:rPr>
          <w:rFonts w:asciiTheme="minorHAnsi" w:hAnsiTheme="minorHAnsi" w:cstheme="minorHAnsi"/>
          <w:b/>
          <w:bCs/>
          <w:sz w:val="22"/>
          <w:szCs w:val="22"/>
        </w:rPr>
        <w:t xml:space="preserve">2.1 - Posilování udržitelného růstu a konkurenceschopnosti malých a středních podniků a vytváření pracovních míst v malých a středních podnicích, mimo jiné prostřednictvím produktivních investic - </w:t>
      </w:r>
      <w:r w:rsidRPr="005D422B">
        <w:rPr>
          <w:rFonts w:asciiTheme="minorHAnsi" w:hAnsiTheme="minorHAnsi" w:cstheme="minorHAnsi"/>
          <w:bCs/>
          <w:iCs/>
          <w:sz w:val="22"/>
          <w:szCs w:val="22"/>
        </w:rPr>
        <w:t>Plánované využití finančních</w:t>
      </w:r>
      <w:r w:rsidR="005D422B" w:rsidRPr="005D422B">
        <w:rPr>
          <w:rFonts w:asciiTheme="minorHAnsi" w:hAnsiTheme="minorHAnsi" w:cstheme="minorHAnsi"/>
          <w:bCs/>
          <w:iCs/>
          <w:sz w:val="22"/>
          <w:szCs w:val="22"/>
        </w:rPr>
        <w:t xml:space="preserve"> nástrojů:</w:t>
      </w:r>
      <w:r w:rsidR="005D422B" w:rsidRPr="005D422B">
        <w:rPr>
          <w:rFonts w:asciiTheme="minorHAnsi" w:hAnsiTheme="minorHAnsi" w:cstheme="minorHAnsi"/>
          <w:sz w:val="22"/>
          <w:szCs w:val="22"/>
        </w:rPr>
        <w:t xml:space="preserve"> </w:t>
      </w:r>
      <w:r w:rsidRPr="005D422B">
        <w:rPr>
          <w:rFonts w:asciiTheme="minorHAnsi" w:hAnsiTheme="minorHAnsi" w:cstheme="minorHAnsi"/>
          <w:sz w:val="22"/>
          <w:szCs w:val="22"/>
        </w:rPr>
        <w:t xml:space="preserve">V závislosti na vyhodnocení ex-ante analýzy je pro plánované aktivity specifického cíle předpokládána možnost využití finančních nástrojů, příp. kombinace finančního nástroje s dalšími formami podpory. </w:t>
      </w:r>
    </w:p>
    <w:p w:rsidR="00584A69" w:rsidRPr="0005128B" w:rsidRDefault="00584A69" w:rsidP="005D422B">
      <w:pPr>
        <w:autoSpaceDE w:val="0"/>
        <w:autoSpaceDN w:val="0"/>
        <w:adjustRightInd w:val="0"/>
        <w:spacing w:after="0" w:line="240" w:lineRule="auto"/>
        <w:ind w:left="708"/>
        <w:jc w:val="both"/>
        <w:rPr>
          <w:rFonts w:cstheme="minorHAnsi"/>
          <w:color w:val="000000"/>
        </w:rPr>
      </w:pPr>
      <w:r w:rsidRPr="005D422B">
        <w:rPr>
          <w:rFonts w:cstheme="minorHAnsi"/>
          <w:b/>
          <w:color w:val="000000"/>
        </w:rPr>
        <w:t>Na základě předchozích zkušeností lze předpokládat využití FN ve formě kapitálového/</w:t>
      </w:r>
      <w:proofErr w:type="spellStart"/>
      <w:r w:rsidRPr="005D422B">
        <w:rPr>
          <w:rFonts w:cstheme="minorHAnsi"/>
          <w:b/>
          <w:color w:val="000000"/>
        </w:rPr>
        <w:t>kvazikapitálového</w:t>
      </w:r>
      <w:proofErr w:type="spellEnd"/>
      <w:r w:rsidRPr="005D422B">
        <w:rPr>
          <w:rFonts w:cstheme="minorHAnsi"/>
          <w:b/>
          <w:color w:val="000000"/>
        </w:rPr>
        <w:t xml:space="preserve"> nástroje, úvěru či záruky, s možnou kombinací s dalšími formami podpory</w:t>
      </w:r>
      <w:r w:rsidRPr="0005128B">
        <w:rPr>
          <w:rFonts w:cstheme="minorHAnsi"/>
          <w:color w:val="000000"/>
        </w:rPr>
        <w:t xml:space="preserve">, a to zejména v oblastech: </w:t>
      </w:r>
    </w:p>
    <w:p w:rsidR="005D422B" w:rsidRDefault="00584A69" w:rsidP="005D422B">
      <w:pPr>
        <w:pStyle w:val="Odstavecseseznamem"/>
        <w:numPr>
          <w:ilvl w:val="0"/>
          <w:numId w:val="6"/>
        </w:numPr>
        <w:autoSpaceDE w:val="0"/>
        <w:autoSpaceDN w:val="0"/>
        <w:adjustRightInd w:val="0"/>
        <w:spacing w:after="171" w:line="240" w:lineRule="auto"/>
        <w:jc w:val="both"/>
        <w:rPr>
          <w:rFonts w:cstheme="minorHAnsi"/>
          <w:color w:val="000000"/>
        </w:rPr>
      </w:pPr>
      <w:r w:rsidRPr="005D422B">
        <w:rPr>
          <w:rFonts w:cstheme="minorHAnsi"/>
          <w:color w:val="000000"/>
        </w:rPr>
        <w:t>podpora přístupu MSP k externímu financování jejich dalšího rozvoje, včetně podpory start-up a spin-</w:t>
      </w:r>
      <w:proofErr w:type="spellStart"/>
      <w:r w:rsidRPr="005D422B">
        <w:rPr>
          <w:rFonts w:cstheme="minorHAnsi"/>
          <w:color w:val="000000"/>
        </w:rPr>
        <w:t>off</w:t>
      </w:r>
      <w:proofErr w:type="spellEnd"/>
      <w:r w:rsidRPr="005D422B">
        <w:rPr>
          <w:rFonts w:cstheme="minorHAnsi"/>
          <w:color w:val="000000"/>
        </w:rPr>
        <w:t>/spin-</w:t>
      </w:r>
      <w:proofErr w:type="spellStart"/>
      <w:r w:rsidRPr="005D422B">
        <w:rPr>
          <w:rFonts w:cstheme="minorHAnsi"/>
          <w:color w:val="000000"/>
        </w:rPr>
        <w:t>out</w:t>
      </w:r>
      <w:proofErr w:type="spellEnd"/>
      <w:r w:rsidRPr="005D422B">
        <w:rPr>
          <w:rFonts w:cstheme="minorHAnsi"/>
          <w:color w:val="000000"/>
        </w:rPr>
        <w:t xml:space="preserve"> podniků a </w:t>
      </w:r>
      <w:proofErr w:type="spellStart"/>
      <w:r w:rsidRPr="005D422B">
        <w:rPr>
          <w:rFonts w:cstheme="minorHAnsi"/>
          <w:color w:val="000000"/>
        </w:rPr>
        <w:t>scale-ups</w:t>
      </w:r>
      <w:proofErr w:type="spellEnd"/>
      <w:r w:rsidRPr="005D422B">
        <w:rPr>
          <w:rFonts w:cstheme="minorHAnsi"/>
          <w:color w:val="000000"/>
        </w:rPr>
        <w:t xml:space="preserve">. </w:t>
      </w:r>
    </w:p>
    <w:p w:rsidR="005D422B" w:rsidRDefault="00584A69" w:rsidP="005D422B">
      <w:pPr>
        <w:pStyle w:val="Odstavecseseznamem"/>
        <w:numPr>
          <w:ilvl w:val="0"/>
          <w:numId w:val="6"/>
        </w:numPr>
        <w:autoSpaceDE w:val="0"/>
        <w:autoSpaceDN w:val="0"/>
        <w:adjustRightInd w:val="0"/>
        <w:spacing w:after="171" w:line="240" w:lineRule="auto"/>
        <w:jc w:val="both"/>
        <w:rPr>
          <w:rFonts w:cstheme="minorHAnsi"/>
          <w:color w:val="000000"/>
        </w:rPr>
      </w:pPr>
      <w:r w:rsidRPr="005D422B">
        <w:rPr>
          <w:rFonts w:cstheme="minorHAnsi"/>
          <w:color w:val="000000"/>
        </w:rPr>
        <w:t xml:space="preserve">pořízení a rekonstrukce dlouhodobého hmotného majetku, pořízení dlouhodobého nehmotného majetku a pořízení drobného hmotného či nehmotného majetku </w:t>
      </w:r>
    </w:p>
    <w:p w:rsidR="00584A69" w:rsidRPr="005D422B" w:rsidRDefault="00584A69" w:rsidP="005D422B">
      <w:pPr>
        <w:pStyle w:val="Odstavecseseznamem"/>
        <w:numPr>
          <w:ilvl w:val="0"/>
          <w:numId w:val="6"/>
        </w:numPr>
        <w:autoSpaceDE w:val="0"/>
        <w:autoSpaceDN w:val="0"/>
        <w:adjustRightInd w:val="0"/>
        <w:spacing w:after="171" w:line="240" w:lineRule="auto"/>
        <w:jc w:val="both"/>
        <w:rPr>
          <w:rFonts w:cstheme="minorHAnsi"/>
          <w:color w:val="000000"/>
        </w:rPr>
      </w:pPr>
      <w:r w:rsidRPr="005D422B">
        <w:rPr>
          <w:rFonts w:cstheme="minorHAnsi"/>
          <w:color w:val="000000"/>
        </w:rPr>
        <w:t xml:space="preserve">podpora provozního kapitálu (provozní financování) </w:t>
      </w:r>
    </w:p>
    <w:p w:rsidR="004255A2" w:rsidRPr="0005128B" w:rsidRDefault="004255A2" w:rsidP="005D422B">
      <w:pPr>
        <w:autoSpaceDE w:val="0"/>
        <w:autoSpaceDN w:val="0"/>
        <w:adjustRightInd w:val="0"/>
        <w:spacing w:after="0" w:line="240" w:lineRule="auto"/>
        <w:jc w:val="both"/>
        <w:rPr>
          <w:rFonts w:cstheme="minorHAnsi"/>
          <w:color w:val="000000"/>
        </w:rPr>
      </w:pPr>
    </w:p>
    <w:p w:rsidR="005D422B" w:rsidRDefault="006F770E" w:rsidP="005D422B">
      <w:pPr>
        <w:autoSpaceDE w:val="0"/>
        <w:autoSpaceDN w:val="0"/>
        <w:adjustRightInd w:val="0"/>
        <w:spacing w:after="0" w:line="240" w:lineRule="auto"/>
        <w:jc w:val="both"/>
        <w:rPr>
          <w:rFonts w:cstheme="minorHAnsi"/>
          <w:color w:val="000000"/>
        </w:rPr>
      </w:pPr>
      <w:r w:rsidRPr="005D422B">
        <w:rPr>
          <w:rFonts w:cstheme="minorHAnsi"/>
          <w:b/>
        </w:rPr>
        <w:t>Národní plán obnovy</w:t>
      </w:r>
      <w:r w:rsidRPr="0005128B">
        <w:rPr>
          <w:rFonts w:cstheme="minorHAnsi"/>
          <w:color w:val="000000"/>
        </w:rPr>
        <w:t xml:space="preserve"> </w:t>
      </w:r>
    </w:p>
    <w:p w:rsidR="006F770E" w:rsidRPr="005D422B" w:rsidRDefault="005D422B" w:rsidP="005D422B">
      <w:pPr>
        <w:pStyle w:val="Odstavecseseznamem"/>
        <w:numPr>
          <w:ilvl w:val="0"/>
          <w:numId w:val="6"/>
        </w:numPr>
        <w:autoSpaceDE w:val="0"/>
        <w:autoSpaceDN w:val="0"/>
        <w:adjustRightInd w:val="0"/>
        <w:spacing w:after="0" w:line="240" w:lineRule="auto"/>
        <w:ind w:left="709"/>
        <w:jc w:val="both"/>
        <w:rPr>
          <w:rFonts w:cstheme="minorHAnsi"/>
          <w:color w:val="000000"/>
        </w:rPr>
      </w:pPr>
      <w:r w:rsidRPr="005D422B">
        <w:rPr>
          <w:rFonts w:cstheme="minorHAnsi"/>
          <w:color w:val="000000"/>
        </w:rPr>
        <w:t>K</w:t>
      </w:r>
      <w:r w:rsidR="006F770E" w:rsidRPr="005D422B">
        <w:rPr>
          <w:rFonts w:cstheme="minorHAnsi"/>
          <w:color w:val="000000"/>
        </w:rPr>
        <w:t>omponenta 1.4, investice</w:t>
      </w:r>
      <w:r w:rsidR="00E2488E">
        <w:rPr>
          <w:rFonts w:cstheme="minorHAnsi"/>
          <w:color w:val="000000"/>
        </w:rPr>
        <w:t xml:space="preserve"> č. 9 -</w:t>
      </w:r>
      <w:r w:rsidR="006F770E" w:rsidRPr="005D422B">
        <w:rPr>
          <w:rFonts w:cstheme="minorHAnsi"/>
          <w:color w:val="000000"/>
        </w:rPr>
        <w:t xml:space="preserve"> </w:t>
      </w:r>
      <w:r w:rsidR="006F770E" w:rsidRPr="005D422B">
        <w:rPr>
          <w:rStyle w:val="Siln"/>
          <w:rFonts w:cstheme="minorHAnsi"/>
        </w:rPr>
        <w:t xml:space="preserve">Pilotní </w:t>
      </w:r>
      <w:proofErr w:type="spellStart"/>
      <w:r w:rsidR="006F770E" w:rsidRPr="005D422B">
        <w:rPr>
          <w:rStyle w:val="Siln"/>
          <w:rFonts w:cstheme="minorHAnsi"/>
        </w:rPr>
        <w:t>spoluinvestiční</w:t>
      </w:r>
      <w:proofErr w:type="spellEnd"/>
      <w:r w:rsidR="006F770E" w:rsidRPr="005D422B">
        <w:rPr>
          <w:rStyle w:val="Siln"/>
          <w:rFonts w:cstheme="minorHAnsi"/>
        </w:rPr>
        <w:t xml:space="preserve"> fondy pro rozvoj </w:t>
      </w:r>
      <w:proofErr w:type="spellStart"/>
      <w:r w:rsidR="006F770E" w:rsidRPr="005D422B">
        <w:rPr>
          <w:rStyle w:val="Siln"/>
          <w:rFonts w:cstheme="minorHAnsi"/>
        </w:rPr>
        <w:t>pre-seedových</w:t>
      </w:r>
      <w:proofErr w:type="spellEnd"/>
      <w:r w:rsidR="006F770E" w:rsidRPr="005D422B">
        <w:rPr>
          <w:rStyle w:val="Siln"/>
          <w:rFonts w:cstheme="minorHAnsi"/>
        </w:rPr>
        <w:t xml:space="preserve"> investic, strategických technologií a univerzitních spin-</w:t>
      </w:r>
      <w:proofErr w:type="spellStart"/>
      <w:r w:rsidR="006F770E" w:rsidRPr="005D422B">
        <w:rPr>
          <w:rStyle w:val="Siln"/>
          <w:rFonts w:cstheme="minorHAnsi"/>
        </w:rPr>
        <w:t>offů</w:t>
      </w:r>
      <w:proofErr w:type="spellEnd"/>
      <w:r w:rsidR="006F770E" w:rsidRPr="005D422B">
        <w:rPr>
          <w:rStyle w:val="Siln"/>
          <w:rFonts w:cstheme="minorHAnsi"/>
        </w:rPr>
        <w:t xml:space="preserve"> v rámci evropských středisek excelence</w:t>
      </w:r>
      <w:r w:rsidR="006F770E" w:rsidRPr="005D422B">
        <w:rPr>
          <w:rStyle w:val="Siln"/>
          <w:rFonts w:cstheme="minorHAnsi"/>
        </w:rPr>
        <w:t xml:space="preserve"> (</w:t>
      </w:r>
      <w:r w:rsidRPr="005D422B">
        <w:rPr>
          <w:rStyle w:val="Siln"/>
          <w:rFonts w:cstheme="minorHAnsi"/>
        </w:rPr>
        <w:t>není znám stav realizace</w:t>
      </w:r>
      <w:r w:rsidR="006F770E" w:rsidRPr="005D422B">
        <w:rPr>
          <w:rStyle w:val="Siln"/>
          <w:rFonts w:cstheme="minorHAnsi"/>
        </w:rPr>
        <w:t>)</w:t>
      </w:r>
      <w:r w:rsidRPr="005D422B">
        <w:rPr>
          <w:rStyle w:val="Siln"/>
          <w:rFonts w:cstheme="minorHAnsi"/>
        </w:rPr>
        <w:t xml:space="preserve">. </w:t>
      </w:r>
      <w:r w:rsidR="0052244A" w:rsidRPr="005D422B">
        <w:rPr>
          <w:rFonts w:eastAsia="Calibri" w:cstheme="minorHAnsi"/>
        </w:rPr>
        <w:t xml:space="preserve">Z tohoto důvodu bude ustavena pracovní skupina </w:t>
      </w:r>
      <w:r w:rsidR="00F00037" w:rsidRPr="005D422B">
        <w:rPr>
          <w:rFonts w:eastAsia="Calibri" w:cstheme="minorHAnsi"/>
        </w:rPr>
        <w:t xml:space="preserve">pro podporu </w:t>
      </w:r>
      <w:proofErr w:type="spellStart"/>
      <w:r w:rsidR="00F00037" w:rsidRPr="005D422B">
        <w:rPr>
          <w:rFonts w:eastAsia="Calibri" w:cstheme="minorHAnsi"/>
        </w:rPr>
        <w:t>startupů</w:t>
      </w:r>
      <w:proofErr w:type="spellEnd"/>
      <w:r w:rsidR="00F00037" w:rsidRPr="005D422B">
        <w:rPr>
          <w:rFonts w:eastAsia="Calibri" w:cstheme="minorHAnsi"/>
        </w:rPr>
        <w:t xml:space="preserve"> a spin </w:t>
      </w:r>
      <w:proofErr w:type="spellStart"/>
      <w:r w:rsidR="00F00037" w:rsidRPr="005D422B">
        <w:rPr>
          <w:rFonts w:eastAsia="Calibri" w:cstheme="minorHAnsi"/>
        </w:rPr>
        <w:t>offů</w:t>
      </w:r>
      <w:proofErr w:type="spellEnd"/>
      <w:r w:rsidR="00F00037" w:rsidRPr="005D422B">
        <w:rPr>
          <w:rFonts w:eastAsia="Calibri" w:cstheme="minorHAnsi"/>
        </w:rPr>
        <w:t xml:space="preserve"> </w:t>
      </w:r>
      <w:r w:rsidR="00F00037" w:rsidRPr="005D422B">
        <w:rPr>
          <w:rFonts w:eastAsia="Calibri" w:cstheme="minorHAnsi"/>
        </w:rPr>
        <w:t xml:space="preserve">pod MPO </w:t>
      </w:r>
      <w:r w:rsidR="0052244A" w:rsidRPr="005D422B">
        <w:rPr>
          <w:rFonts w:eastAsia="Calibri" w:cstheme="minorHAnsi"/>
        </w:rPr>
        <w:t>v čele s náměstkem pro digitalizaci a inovace</w:t>
      </w:r>
      <w:r>
        <w:rPr>
          <w:rFonts w:eastAsia="Calibri" w:cstheme="minorHAnsi"/>
        </w:rPr>
        <w:t>.</w:t>
      </w:r>
    </w:p>
    <w:p w:rsidR="008C331C" w:rsidRPr="0005128B" w:rsidRDefault="008C331C" w:rsidP="005D422B">
      <w:pPr>
        <w:autoSpaceDE w:val="0"/>
        <w:autoSpaceDN w:val="0"/>
        <w:adjustRightInd w:val="0"/>
        <w:spacing w:after="0" w:line="240" w:lineRule="auto"/>
        <w:jc w:val="both"/>
        <w:rPr>
          <w:rFonts w:cstheme="minorHAnsi"/>
          <w:color w:val="000000"/>
        </w:rPr>
      </w:pPr>
    </w:p>
    <w:p w:rsidR="005D422B" w:rsidRDefault="004255A2" w:rsidP="005D422B">
      <w:pPr>
        <w:autoSpaceDE w:val="0"/>
        <w:autoSpaceDN w:val="0"/>
        <w:adjustRightInd w:val="0"/>
        <w:spacing w:after="0" w:line="240" w:lineRule="auto"/>
        <w:jc w:val="both"/>
        <w:rPr>
          <w:rFonts w:cstheme="minorHAnsi"/>
        </w:rPr>
      </w:pPr>
      <w:r w:rsidRPr="0005128B">
        <w:rPr>
          <w:rFonts w:cstheme="minorHAnsi"/>
          <w:b/>
        </w:rPr>
        <w:t>Invest EU</w:t>
      </w:r>
      <w:r w:rsidRPr="0005128B">
        <w:rPr>
          <w:rFonts w:cstheme="minorHAnsi"/>
        </w:rPr>
        <w:t xml:space="preserve"> </w:t>
      </w:r>
    </w:p>
    <w:p w:rsidR="004255A2" w:rsidRPr="005D422B" w:rsidRDefault="00BF50C5" w:rsidP="005D422B">
      <w:pPr>
        <w:pStyle w:val="Odstavecseseznamem"/>
        <w:numPr>
          <w:ilvl w:val="0"/>
          <w:numId w:val="6"/>
        </w:numPr>
        <w:autoSpaceDE w:val="0"/>
        <w:autoSpaceDN w:val="0"/>
        <w:adjustRightInd w:val="0"/>
        <w:spacing w:after="0" w:line="240" w:lineRule="auto"/>
        <w:ind w:left="709"/>
        <w:jc w:val="both"/>
        <w:rPr>
          <w:rFonts w:eastAsia="Montserrat-Regular" w:cstheme="minorHAnsi"/>
        </w:rPr>
      </w:pPr>
      <w:hyperlink r:id="rId10" w:history="1">
        <w:proofErr w:type="spellStart"/>
        <w:r w:rsidRPr="00BF50C5">
          <w:rPr>
            <w:rStyle w:val="Hypertextovodkaz"/>
            <w:rFonts w:cstheme="minorHAnsi"/>
            <w:b/>
          </w:rPr>
          <w:t>InvestEU</w:t>
        </w:r>
        <w:proofErr w:type="spellEnd"/>
        <w:r w:rsidRPr="00BF50C5">
          <w:rPr>
            <w:rStyle w:val="Hypertextovodkaz"/>
            <w:rFonts w:cstheme="minorHAnsi"/>
            <w:b/>
          </w:rPr>
          <w:t xml:space="preserve"> </w:t>
        </w:r>
        <w:proofErr w:type="spellStart"/>
        <w:r w:rsidRPr="00BF50C5">
          <w:rPr>
            <w:rStyle w:val="Hypertextovodkaz"/>
            <w:rFonts w:cstheme="minorHAnsi"/>
            <w:b/>
          </w:rPr>
          <w:t>fund</w:t>
        </w:r>
        <w:proofErr w:type="spellEnd"/>
      </w:hyperlink>
      <w:r>
        <w:rPr>
          <w:rStyle w:val="markedcontent"/>
          <w:rFonts w:cstheme="minorHAnsi"/>
        </w:rPr>
        <w:t xml:space="preserve"> - </w:t>
      </w:r>
      <w:r w:rsidR="004255A2" w:rsidRPr="005D422B">
        <w:rPr>
          <w:rStyle w:val="markedcontent"/>
          <w:rFonts w:cstheme="minorHAnsi"/>
        </w:rPr>
        <w:t>Do</w:t>
      </w:r>
      <w:r w:rsidR="005D422B" w:rsidRPr="005D422B">
        <w:rPr>
          <w:rStyle w:val="markedcontent"/>
          <w:rFonts w:cstheme="minorHAnsi"/>
        </w:rPr>
        <w:t>ba trvání programu je 2021 – 2027.</w:t>
      </w:r>
      <w:r w:rsidR="004255A2" w:rsidRPr="005D422B">
        <w:rPr>
          <w:rStyle w:val="markedcontent"/>
          <w:rFonts w:cstheme="minorHAnsi"/>
        </w:rPr>
        <w:t xml:space="preserve"> Podpora investic prostřednictvím</w:t>
      </w:r>
      <w:r w:rsidR="005D422B" w:rsidRPr="005D422B">
        <w:rPr>
          <w:rStyle w:val="markedcontent"/>
          <w:rFonts w:cstheme="minorHAnsi"/>
        </w:rPr>
        <w:t xml:space="preserve"> </w:t>
      </w:r>
      <w:r w:rsidR="004255A2" w:rsidRPr="005D422B">
        <w:rPr>
          <w:rStyle w:val="markedcontent"/>
          <w:rFonts w:cstheme="minorHAnsi"/>
        </w:rPr>
        <w:t>finančních nástrojů v oblasti výzkumu a vývoje včetně spoluprací mezi výzkumným a podnikatelským sektorem</w:t>
      </w:r>
      <w:r w:rsidR="005D2D69" w:rsidRPr="005D422B">
        <w:rPr>
          <w:rStyle w:val="markedcontent"/>
          <w:rFonts w:cstheme="minorHAnsi"/>
        </w:rPr>
        <w:t xml:space="preserve">, dále MSP, </w:t>
      </w:r>
      <w:r w:rsidR="005D2D69" w:rsidRPr="005D422B">
        <w:rPr>
          <w:rFonts w:eastAsia="Montserrat-Regular" w:cstheme="minorHAnsi"/>
        </w:rPr>
        <w:t>infrastruktury, digitalizace, sociální investice, strategické investice</w:t>
      </w:r>
      <w:r w:rsidR="005D422B" w:rsidRPr="005D422B">
        <w:rPr>
          <w:rFonts w:eastAsia="Montserrat-Regular" w:cstheme="minorHAnsi"/>
        </w:rPr>
        <w:t xml:space="preserve">. </w:t>
      </w:r>
      <w:r w:rsidR="005D2D69" w:rsidRPr="005D422B">
        <w:rPr>
          <w:rFonts w:eastAsia="Montserrat-Regular" w:cstheme="minorHAnsi"/>
          <w:bCs/>
        </w:rPr>
        <w:t>Koordinační</w:t>
      </w:r>
      <w:r w:rsidR="005D422B" w:rsidRPr="005D422B">
        <w:rPr>
          <w:rFonts w:eastAsia="Montserrat-Regular" w:cstheme="minorHAnsi"/>
          <w:bCs/>
        </w:rPr>
        <w:t>mi</w:t>
      </w:r>
      <w:r w:rsidR="005D2D69" w:rsidRPr="005D422B">
        <w:rPr>
          <w:rFonts w:eastAsia="Montserrat-Regular" w:cstheme="minorHAnsi"/>
          <w:bCs/>
        </w:rPr>
        <w:t xml:space="preserve"> úřad</w:t>
      </w:r>
      <w:r w:rsidR="005D422B" w:rsidRPr="005D422B">
        <w:rPr>
          <w:rFonts w:eastAsia="Montserrat-Regular" w:cstheme="minorHAnsi"/>
          <w:bCs/>
        </w:rPr>
        <w:t>y jsou</w:t>
      </w:r>
      <w:r w:rsidR="005D2D69" w:rsidRPr="005D422B">
        <w:rPr>
          <w:rFonts w:eastAsia="Montserrat-Regular" w:cstheme="minorHAnsi"/>
          <w:b/>
          <w:bCs/>
        </w:rPr>
        <w:t xml:space="preserve"> </w:t>
      </w:r>
      <w:r w:rsidR="005D2D69" w:rsidRPr="005D422B">
        <w:rPr>
          <w:rFonts w:eastAsia="Montserrat-Regular" w:cstheme="minorHAnsi"/>
        </w:rPr>
        <w:t>MPO a MF</w:t>
      </w:r>
      <w:r w:rsidR="005D422B">
        <w:rPr>
          <w:rFonts w:eastAsia="Montserrat-Regular" w:cstheme="minorHAnsi"/>
        </w:rPr>
        <w:t>.</w:t>
      </w:r>
    </w:p>
    <w:p w:rsidR="008C331C" w:rsidRPr="0005128B" w:rsidRDefault="008C331C" w:rsidP="005D422B">
      <w:pPr>
        <w:autoSpaceDE w:val="0"/>
        <w:autoSpaceDN w:val="0"/>
        <w:adjustRightInd w:val="0"/>
        <w:spacing w:after="0" w:line="240" w:lineRule="auto"/>
        <w:jc w:val="both"/>
        <w:rPr>
          <w:rFonts w:eastAsia="Montserrat-Regular" w:cstheme="minorHAnsi"/>
        </w:rPr>
      </w:pPr>
    </w:p>
    <w:p w:rsidR="00BF50C5" w:rsidRPr="00BF50C5" w:rsidRDefault="00BF50C5" w:rsidP="005D422B">
      <w:pPr>
        <w:autoSpaceDE w:val="0"/>
        <w:autoSpaceDN w:val="0"/>
        <w:adjustRightInd w:val="0"/>
        <w:spacing w:after="0" w:line="240" w:lineRule="auto"/>
        <w:jc w:val="both"/>
        <w:rPr>
          <w:rFonts w:eastAsia="Calibri" w:cstheme="minorHAnsi"/>
          <w:b/>
        </w:rPr>
      </w:pPr>
      <w:proofErr w:type="spellStart"/>
      <w:r w:rsidRPr="00BF50C5">
        <w:rPr>
          <w:rFonts w:eastAsia="Calibri" w:cstheme="minorHAnsi"/>
          <w:b/>
        </w:rPr>
        <w:t>European</w:t>
      </w:r>
      <w:proofErr w:type="spellEnd"/>
      <w:r w:rsidRPr="00BF50C5">
        <w:rPr>
          <w:rFonts w:eastAsia="Calibri" w:cstheme="minorHAnsi"/>
          <w:b/>
        </w:rPr>
        <w:t xml:space="preserve"> </w:t>
      </w:r>
      <w:proofErr w:type="spellStart"/>
      <w:r w:rsidRPr="00BF50C5">
        <w:rPr>
          <w:rFonts w:eastAsia="Calibri" w:cstheme="minorHAnsi"/>
          <w:b/>
        </w:rPr>
        <w:t>Innovation</w:t>
      </w:r>
      <w:proofErr w:type="spellEnd"/>
      <w:r w:rsidRPr="00BF50C5">
        <w:rPr>
          <w:rFonts w:eastAsia="Calibri" w:cstheme="minorHAnsi"/>
          <w:b/>
        </w:rPr>
        <w:t xml:space="preserve"> </w:t>
      </w:r>
      <w:proofErr w:type="spellStart"/>
      <w:r w:rsidRPr="00BF50C5">
        <w:rPr>
          <w:rFonts w:eastAsia="Calibri" w:cstheme="minorHAnsi"/>
          <w:b/>
        </w:rPr>
        <w:t>Council</w:t>
      </w:r>
      <w:proofErr w:type="spellEnd"/>
      <w:r w:rsidRPr="00BF50C5">
        <w:rPr>
          <w:rFonts w:eastAsia="Calibri" w:cstheme="minorHAnsi"/>
          <w:b/>
        </w:rPr>
        <w:t xml:space="preserve"> </w:t>
      </w:r>
    </w:p>
    <w:p w:rsidR="008C331C" w:rsidRPr="00BF50C5" w:rsidRDefault="008C331C" w:rsidP="00BF50C5">
      <w:pPr>
        <w:pStyle w:val="Odstavecseseznamem"/>
        <w:numPr>
          <w:ilvl w:val="0"/>
          <w:numId w:val="6"/>
        </w:numPr>
        <w:autoSpaceDE w:val="0"/>
        <w:autoSpaceDN w:val="0"/>
        <w:adjustRightInd w:val="0"/>
        <w:spacing w:after="0" w:line="240" w:lineRule="auto"/>
        <w:ind w:left="709"/>
        <w:jc w:val="both"/>
        <w:rPr>
          <w:rFonts w:cstheme="minorHAnsi"/>
          <w:color w:val="000000"/>
        </w:rPr>
      </w:pPr>
      <w:r w:rsidRPr="00BF50C5">
        <w:rPr>
          <w:rFonts w:eastAsia="Calibri" w:cstheme="minorHAnsi"/>
        </w:rPr>
        <w:t xml:space="preserve">EU se snaží podpořit nadějné firmy i pomocí přímých investic v rámci programu Horizont Evropa, pilíře </w:t>
      </w:r>
      <w:proofErr w:type="spellStart"/>
      <w:r w:rsidRPr="00BF50C5">
        <w:rPr>
          <w:rFonts w:eastAsia="Calibri" w:cstheme="minorHAnsi"/>
        </w:rPr>
        <w:t>European</w:t>
      </w:r>
      <w:proofErr w:type="spellEnd"/>
      <w:r w:rsidRPr="00BF50C5">
        <w:rPr>
          <w:rFonts w:eastAsia="Calibri" w:cstheme="minorHAnsi"/>
        </w:rPr>
        <w:t xml:space="preserve"> </w:t>
      </w:r>
      <w:proofErr w:type="spellStart"/>
      <w:r w:rsidRPr="00BF50C5">
        <w:rPr>
          <w:rFonts w:eastAsia="Calibri" w:cstheme="minorHAnsi"/>
        </w:rPr>
        <w:t>Innovation</w:t>
      </w:r>
      <w:proofErr w:type="spellEnd"/>
      <w:r w:rsidRPr="00BF50C5">
        <w:rPr>
          <w:rFonts w:eastAsia="Calibri" w:cstheme="minorHAnsi"/>
        </w:rPr>
        <w:t xml:space="preserve"> </w:t>
      </w:r>
      <w:proofErr w:type="spellStart"/>
      <w:r w:rsidRPr="00BF50C5">
        <w:rPr>
          <w:rFonts w:eastAsia="Calibri" w:cstheme="minorHAnsi"/>
        </w:rPr>
        <w:t>Council</w:t>
      </w:r>
      <w:proofErr w:type="spellEnd"/>
      <w:r w:rsidRPr="00BF50C5">
        <w:rPr>
          <w:rFonts w:eastAsia="Calibri" w:cstheme="minorHAnsi"/>
        </w:rPr>
        <w:t>, který investuje do projektů mezi 500 tisíci a 15 miliony euro za podíl v rozmezí 10% až 25%. Tato aktivita se vhodně doplňuje s dosavadní strategií nepřímých investic prostřednictvím investic z Evropského investičního fondu (EIF) do soukromých VC fondů.</w:t>
      </w:r>
    </w:p>
    <w:p w:rsidR="008C331C" w:rsidRPr="0005128B" w:rsidRDefault="008C331C" w:rsidP="005D422B">
      <w:pPr>
        <w:autoSpaceDE w:val="0"/>
        <w:autoSpaceDN w:val="0"/>
        <w:adjustRightInd w:val="0"/>
        <w:spacing w:after="0" w:line="240" w:lineRule="auto"/>
        <w:jc w:val="both"/>
        <w:rPr>
          <w:rFonts w:eastAsia="Montserrat-Regular" w:cstheme="minorHAnsi"/>
        </w:rPr>
      </w:pPr>
    </w:p>
    <w:p w:rsidR="005D0D41" w:rsidRPr="00BF50C5" w:rsidRDefault="005D0D41" w:rsidP="005D422B">
      <w:pPr>
        <w:autoSpaceDE w:val="0"/>
        <w:autoSpaceDN w:val="0"/>
        <w:adjustRightInd w:val="0"/>
        <w:spacing w:after="0" w:line="240" w:lineRule="auto"/>
        <w:jc w:val="both"/>
        <w:rPr>
          <w:rFonts w:cstheme="minorHAnsi"/>
          <w:b/>
        </w:rPr>
      </w:pPr>
      <w:proofErr w:type="spellStart"/>
      <w:r w:rsidRPr="00BF50C5">
        <w:rPr>
          <w:rFonts w:cstheme="minorHAnsi"/>
          <w:b/>
        </w:rPr>
        <w:t>CzechInvest</w:t>
      </w:r>
      <w:proofErr w:type="spellEnd"/>
    </w:p>
    <w:p w:rsidR="005D0D41" w:rsidRPr="00BF50C5" w:rsidRDefault="005D0D41" w:rsidP="00BF50C5">
      <w:pPr>
        <w:pStyle w:val="Odstavecseseznamem"/>
        <w:numPr>
          <w:ilvl w:val="0"/>
          <w:numId w:val="6"/>
        </w:numPr>
        <w:autoSpaceDE w:val="0"/>
        <w:autoSpaceDN w:val="0"/>
        <w:adjustRightInd w:val="0"/>
        <w:spacing w:after="0" w:line="240" w:lineRule="auto"/>
        <w:ind w:left="709"/>
        <w:jc w:val="both"/>
        <w:rPr>
          <w:rFonts w:cstheme="minorHAnsi"/>
          <w:color w:val="000000" w:themeColor="text1"/>
          <w:spacing w:val="6"/>
        </w:rPr>
      </w:pPr>
      <w:hyperlink r:id="rId11" w:history="1">
        <w:r w:rsidRPr="00BF50C5">
          <w:rPr>
            <w:rStyle w:val="Hypertextovodkaz"/>
            <w:rFonts w:cstheme="minorHAnsi"/>
            <w:b/>
          </w:rPr>
          <w:t>Technologická inkubace</w:t>
        </w:r>
      </w:hyperlink>
      <w:r w:rsidRPr="00BF50C5">
        <w:rPr>
          <w:rFonts w:cstheme="minorHAnsi"/>
          <w:color w:val="000000" w:themeColor="text1"/>
        </w:rPr>
        <w:t xml:space="preserve"> </w:t>
      </w:r>
      <w:r w:rsidR="0054021A" w:rsidRPr="00BF50C5">
        <w:rPr>
          <w:rStyle w:val="markedcontent"/>
          <w:rFonts w:cstheme="minorHAnsi"/>
        </w:rPr>
        <w:t xml:space="preserve">v rámci programu </w:t>
      </w:r>
      <w:proofErr w:type="spellStart"/>
      <w:r w:rsidR="0054021A" w:rsidRPr="00BF50C5">
        <w:rPr>
          <w:rStyle w:val="markedcontent"/>
          <w:rFonts w:cstheme="minorHAnsi"/>
        </w:rPr>
        <w:t>The</w:t>
      </w:r>
      <w:proofErr w:type="spellEnd"/>
      <w:r w:rsidR="0054021A" w:rsidRPr="00BF50C5">
        <w:rPr>
          <w:rStyle w:val="markedcontent"/>
          <w:rFonts w:cstheme="minorHAnsi"/>
        </w:rPr>
        <w:t xml:space="preserve"> Country </w:t>
      </w:r>
      <w:proofErr w:type="spellStart"/>
      <w:r w:rsidR="0054021A" w:rsidRPr="00BF50C5">
        <w:rPr>
          <w:rStyle w:val="markedcontent"/>
          <w:rFonts w:cstheme="minorHAnsi"/>
        </w:rPr>
        <w:t>for</w:t>
      </w:r>
      <w:proofErr w:type="spellEnd"/>
      <w:r w:rsidR="0054021A" w:rsidRPr="00BF50C5">
        <w:rPr>
          <w:rStyle w:val="markedcontent"/>
          <w:rFonts w:cstheme="minorHAnsi"/>
        </w:rPr>
        <w:t xml:space="preserve"> </w:t>
      </w:r>
      <w:proofErr w:type="spellStart"/>
      <w:r w:rsidR="0054021A" w:rsidRPr="00BF50C5">
        <w:rPr>
          <w:rStyle w:val="markedcontent"/>
          <w:rFonts w:cstheme="minorHAnsi"/>
        </w:rPr>
        <w:t>the</w:t>
      </w:r>
      <w:proofErr w:type="spellEnd"/>
      <w:r w:rsidR="0054021A" w:rsidRPr="00BF50C5">
        <w:rPr>
          <w:rStyle w:val="markedcontent"/>
          <w:rFonts w:cstheme="minorHAnsi"/>
        </w:rPr>
        <w:t xml:space="preserve"> </w:t>
      </w:r>
      <w:proofErr w:type="spellStart"/>
      <w:r w:rsidR="0054021A" w:rsidRPr="00BF50C5">
        <w:rPr>
          <w:rStyle w:val="markedcontent"/>
          <w:rFonts w:cstheme="minorHAnsi"/>
        </w:rPr>
        <w:t>Future</w:t>
      </w:r>
      <w:proofErr w:type="spellEnd"/>
      <w:r w:rsidR="00BF50C5">
        <w:rPr>
          <w:rFonts w:cstheme="minorHAnsi"/>
          <w:color w:val="000000" w:themeColor="text1"/>
        </w:rPr>
        <w:t>.</w:t>
      </w:r>
      <w:r w:rsidRPr="00BF50C5">
        <w:rPr>
          <w:rFonts w:cstheme="minorHAnsi"/>
          <w:color w:val="000000" w:themeColor="text1"/>
        </w:rPr>
        <w:t xml:space="preserve"> </w:t>
      </w:r>
      <w:r w:rsidRPr="00BF50C5">
        <w:rPr>
          <w:rFonts w:cstheme="minorHAnsi"/>
        </w:rPr>
        <w:t xml:space="preserve">V horizontu nadcházejících pěti let předpokládá podpořit až 250 inovativních </w:t>
      </w:r>
      <w:proofErr w:type="spellStart"/>
      <w:r w:rsidRPr="00BF50C5">
        <w:rPr>
          <w:rFonts w:cstheme="minorHAnsi"/>
        </w:rPr>
        <w:t>startupů</w:t>
      </w:r>
      <w:proofErr w:type="spellEnd"/>
      <w:r w:rsidRPr="00BF50C5">
        <w:rPr>
          <w:rFonts w:cstheme="minorHAnsi"/>
        </w:rPr>
        <w:t xml:space="preserve"> částkou zhruba 850 milionů korun v sedmi klíčových oblastech. </w:t>
      </w:r>
      <w:r w:rsidRPr="00BF50C5">
        <w:rPr>
          <w:rFonts w:cstheme="minorHAnsi"/>
          <w:color w:val="000000" w:themeColor="text1"/>
        </w:rPr>
        <w:t>T</w:t>
      </w:r>
      <w:r w:rsidRPr="00BF50C5">
        <w:rPr>
          <w:rFonts w:cstheme="minorHAnsi"/>
          <w:bCs/>
          <w:color w:val="000000" w:themeColor="text1"/>
          <w:spacing w:val="6"/>
        </w:rPr>
        <w:t>echnologicky specializovan</w:t>
      </w:r>
      <w:r w:rsidRPr="00BF50C5">
        <w:rPr>
          <w:rFonts w:cstheme="minorHAnsi"/>
          <w:bCs/>
          <w:color w:val="000000" w:themeColor="text1"/>
          <w:spacing w:val="6"/>
        </w:rPr>
        <w:t>é</w:t>
      </w:r>
      <w:r w:rsidRPr="00BF50C5">
        <w:rPr>
          <w:rFonts w:cstheme="minorHAnsi"/>
          <w:bCs/>
          <w:color w:val="000000" w:themeColor="text1"/>
          <w:spacing w:val="6"/>
        </w:rPr>
        <w:t xml:space="preserve"> inkubátor</w:t>
      </w:r>
      <w:r w:rsidRPr="00BF50C5">
        <w:rPr>
          <w:rFonts w:cstheme="minorHAnsi"/>
          <w:bCs/>
          <w:color w:val="000000" w:themeColor="text1"/>
          <w:spacing w:val="6"/>
        </w:rPr>
        <w:t>y</w:t>
      </w:r>
      <w:r w:rsidRPr="00BF50C5">
        <w:rPr>
          <w:rFonts w:cstheme="minorHAnsi"/>
          <w:bCs/>
          <w:color w:val="000000" w:themeColor="text1"/>
          <w:spacing w:val="6"/>
        </w:rPr>
        <w:t xml:space="preserve"> </w:t>
      </w:r>
      <w:r w:rsidRPr="00BF50C5">
        <w:rPr>
          <w:rFonts w:cstheme="minorHAnsi"/>
          <w:bCs/>
          <w:color w:val="000000" w:themeColor="text1"/>
          <w:spacing w:val="6"/>
        </w:rPr>
        <w:t>(</w:t>
      </w:r>
      <w:r w:rsidRPr="00BF50C5">
        <w:rPr>
          <w:rFonts w:cstheme="minorHAnsi"/>
          <w:bCs/>
          <w:color w:val="000000" w:themeColor="text1"/>
          <w:spacing w:val="6"/>
        </w:rPr>
        <w:t xml:space="preserve">Mobility </w:t>
      </w:r>
      <w:proofErr w:type="spellStart"/>
      <w:r w:rsidRPr="00BF50C5">
        <w:rPr>
          <w:rFonts w:cstheme="minorHAnsi"/>
          <w:bCs/>
          <w:color w:val="000000" w:themeColor="text1"/>
          <w:spacing w:val="6"/>
        </w:rPr>
        <w:t>innovation</w:t>
      </w:r>
      <w:proofErr w:type="spellEnd"/>
      <w:r w:rsidRPr="00BF50C5">
        <w:rPr>
          <w:rFonts w:cstheme="minorHAnsi"/>
          <w:bCs/>
          <w:color w:val="000000" w:themeColor="text1"/>
          <w:spacing w:val="6"/>
        </w:rPr>
        <w:t xml:space="preserve"> HUB, </w:t>
      </w:r>
      <w:proofErr w:type="spellStart"/>
      <w:r w:rsidRPr="00BF50C5">
        <w:rPr>
          <w:rFonts w:cstheme="minorHAnsi"/>
          <w:bCs/>
          <w:color w:val="000000" w:themeColor="text1"/>
          <w:spacing w:val="6"/>
        </w:rPr>
        <w:t>Space</w:t>
      </w:r>
      <w:proofErr w:type="spellEnd"/>
      <w:r w:rsidRPr="00BF50C5">
        <w:rPr>
          <w:rFonts w:cstheme="minorHAnsi"/>
          <w:bCs/>
          <w:color w:val="000000" w:themeColor="text1"/>
          <w:spacing w:val="6"/>
        </w:rPr>
        <w:t xml:space="preserve"> HUB, </w:t>
      </w:r>
      <w:proofErr w:type="spellStart"/>
      <w:r w:rsidRPr="00BF50C5">
        <w:rPr>
          <w:rFonts w:cstheme="minorHAnsi"/>
          <w:bCs/>
          <w:color w:val="000000" w:themeColor="text1"/>
          <w:spacing w:val="6"/>
        </w:rPr>
        <w:t>Creative</w:t>
      </w:r>
      <w:proofErr w:type="spellEnd"/>
      <w:r w:rsidRPr="00BF50C5">
        <w:rPr>
          <w:rFonts w:cstheme="minorHAnsi"/>
          <w:bCs/>
          <w:color w:val="000000" w:themeColor="text1"/>
          <w:spacing w:val="6"/>
        </w:rPr>
        <w:t xml:space="preserve"> BIC, AI HUB, ECOTECH HUB, TECH4LIFE HUB) </w:t>
      </w:r>
      <w:r w:rsidRPr="00BF50C5">
        <w:rPr>
          <w:rFonts w:cstheme="minorHAnsi"/>
          <w:bCs/>
          <w:color w:val="000000" w:themeColor="text1"/>
          <w:spacing w:val="6"/>
        </w:rPr>
        <w:t>podporují</w:t>
      </w:r>
      <w:r w:rsidRPr="00BF50C5">
        <w:rPr>
          <w:rFonts w:cstheme="minorHAnsi"/>
          <w:bCs/>
          <w:color w:val="000000" w:themeColor="text1"/>
          <w:spacing w:val="6"/>
        </w:rPr>
        <w:t xml:space="preserve"> nové firmy, které přinášejí inovativní technologie do komerčních aplikací. </w:t>
      </w:r>
      <w:r w:rsidRPr="00BF50C5">
        <w:rPr>
          <w:rFonts w:cstheme="minorHAnsi"/>
          <w:color w:val="000000" w:themeColor="text1"/>
          <w:spacing w:val="6"/>
        </w:rPr>
        <w:t xml:space="preserve">Vybrané technologické </w:t>
      </w:r>
      <w:proofErr w:type="spellStart"/>
      <w:r w:rsidRPr="00BF50C5">
        <w:rPr>
          <w:rFonts w:cstheme="minorHAnsi"/>
          <w:color w:val="000000" w:themeColor="text1"/>
          <w:spacing w:val="6"/>
        </w:rPr>
        <w:t>startupy</w:t>
      </w:r>
      <w:proofErr w:type="spellEnd"/>
      <w:r w:rsidRPr="00BF50C5">
        <w:rPr>
          <w:rFonts w:cstheme="minorHAnsi"/>
          <w:color w:val="000000" w:themeColor="text1"/>
          <w:spacing w:val="6"/>
        </w:rPr>
        <w:t xml:space="preserve"> získají přímou podporu ve výši 1 100 000 – </w:t>
      </w:r>
      <w:r w:rsidRPr="00BF50C5">
        <w:rPr>
          <w:rFonts w:cstheme="minorHAnsi"/>
          <w:color w:val="000000" w:themeColor="text1"/>
          <w:spacing w:val="6"/>
        </w:rPr>
        <w:lastRenderedPageBreak/>
        <w:t>4 500 000 Kč a nepřímou podporu v hodnotě 500 000 Kč ve formě workshopů, seminářů, pomoci inkubačních manažerů, konzultací s odborníky na business a technologie, inkubaci v trvání až 2 roky, a to vše bez ztráty podílu ve firmě.</w:t>
      </w:r>
    </w:p>
    <w:p w:rsidR="008F7236" w:rsidRPr="0005128B" w:rsidRDefault="008F7236" w:rsidP="00BF50C5">
      <w:pPr>
        <w:autoSpaceDE w:val="0"/>
        <w:autoSpaceDN w:val="0"/>
        <w:adjustRightInd w:val="0"/>
        <w:spacing w:after="0" w:line="240" w:lineRule="auto"/>
        <w:ind w:left="708"/>
        <w:jc w:val="both"/>
        <w:rPr>
          <w:rFonts w:eastAsia="Montserrat-Regular" w:cstheme="minorHAnsi"/>
        </w:rPr>
      </w:pPr>
      <w:r w:rsidRPr="0005128B">
        <w:rPr>
          <w:rFonts w:cstheme="minorHAnsi"/>
        </w:rPr>
        <w:t xml:space="preserve">První výzva projektu Technologická inkubace byla vyhlášena od 1. 7. do 17. 8. 2022. Z celkem 114 přihlášených projektů je 92 % mladších tří let. Více než třetina příchozích žádostí spadá do oblasti umělé inteligence, v těsném závěsu je oblast kreativního průmyslu. Nejvíce žádostí přichází z Prahy a Jihomoravského kraje. </w:t>
      </w:r>
      <w:proofErr w:type="spellStart"/>
      <w:r w:rsidRPr="0005128B">
        <w:rPr>
          <w:rFonts w:cstheme="minorHAnsi"/>
        </w:rPr>
        <w:t>CzechInvest</w:t>
      </w:r>
      <w:proofErr w:type="spellEnd"/>
      <w:r w:rsidRPr="0005128B">
        <w:rPr>
          <w:rFonts w:cstheme="minorHAnsi"/>
        </w:rPr>
        <w:t xml:space="preserve"> plánuje vypisovat dvě až tři výzvy projektu Technologická inkubace ročně.</w:t>
      </w:r>
    </w:p>
    <w:p w:rsidR="005D0D41" w:rsidRPr="00BF50C5" w:rsidRDefault="005D0D41" w:rsidP="00BF50C5">
      <w:pPr>
        <w:pStyle w:val="Odstavecseseznamem"/>
        <w:numPr>
          <w:ilvl w:val="0"/>
          <w:numId w:val="6"/>
        </w:numPr>
        <w:autoSpaceDE w:val="0"/>
        <w:autoSpaceDN w:val="0"/>
        <w:adjustRightInd w:val="0"/>
        <w:spacing w:after="0" w:line="240" w:lineRule="auto"/>
        <w:ind w:left="709"/>
        <w:jc w:val="both"/>
        <w:rPr>
          <w:rFonts w:cstheme="minorHAnsi"/>
          <w:bCs/>
          <w:color w:val="000000" w:themeColor="text1"/>
          <w:spacing w:val="6"/>
        </w:rPr>
      </w:pPr>
      <w:hyperlink r:id="rId12" w:history="1">
        <w:proofErr w:type="spellStart"/>
        <w:r w:rsidRPr="00BF50C5">
          <w:rPr>
            <w:rStyle w:val="Hypertextovodkaz"/>
            <w:rFonts w:cstheme="minorHAnsi"/>
            <w:spacing w:val="6"/>
          </w:rPr>
          <w:t>CzechLink</w:t>
        </w:r>
        <w:proofErr w:type="spellEnd"/>
        <w:r w:rsidRPr="00BF50C5">
          <w:rPr>
            <w:rStyle w:val="Hypertextovodkaz"/>
            <w:rFonts w:cstheme="minorHAnsi"/>
            <w:spacing w:val="6"/>
          </w:rPr>
          <w:t xml:space="preserve"> </w:t>
        </w:r>
        <w:proofErr w:type="spellStart"/>
        <w:r w:rsidRPr="00BF50C5">
          <w:rPr>
            <w:rStyle w:val="Hypertextovodkaz"/>
            <w:rFonts w:cstheme="minorHAnsi"/>
            <w:spacing w:val="6"/>
          </w:rPr>
          <w:t>StartUp</w:t>
        </w:r>
        <w:proofErr w:type="spellEnd"/>
      </w:hyperlink>
      <w:r w:rsidRPr="00BF50C5">
        <w:rPr>
          <w:rFonts w:cstheme="minorHAnsi"/>
          <w:bCs/>
          <w:color w:val="000000" w:themeColor="text1"/>
          <w:spacing w:val="6"/>
        </w:rPr>
        <w:t xml:space="preserve"> - propojuje tuzemské i zahraniční investory s českými </w:t>
      </w:r>
      <w:proofErr w:type="spellStart"/>
      <w:r w:rsidRPr="00BF50C5">
        <w:rPr>
          <w:rFonts w:cstheme="minorHAnsi"/>
          <w:bCs/>
          <w:color w:val="000000" w:themeColor="text1"/>
          <w:spacing w:val="6"/>
        </w:rPr>
        <w:t>startupy</w:t>
      </w:r>
      <w:proofErr w:type="spellEnd"/>
      <w:r w:rsidRPr="00BF50C5">
        <w:rPr>
          <w:rFonts w:cstheme="minorHAnsi"/>
          <w:bCs/>
          <w:color w:val="000000" w:themeColor="text1"/>
          <w:spacing w:val="6"/>
        </w:rPr>
        <w:t>.</w:t>
      </w:r>
    </w:p>
    <w:p w:rsidR="005D0D41" w:rsidRPr="0005128B" w:rsidRDefault="005D0D41" w:rsidP="005D422B">
      <w:pPr>
        <w:autoSpaceDE w:val="0"/>
        <w:autoSpaceDN w:val="0"/>
        <w:adjustRightInd w:val="0"/>
        <w:spacing w:after="0" w:line="240" w:lineRule="auto"/>
        <w:jc w:val="both"/>
        <w:rPr>
          <w:rFonts w:eastAsia="Montserrat-Regular" w:cstheme="minorHAnsi"/>
        </w:rPr>
      </w:pPr>
    </w:p>
    <w:p w:rsidR="004247C6" w:rsidRDefault="005D0D41" w:rsidP="005D422B">
      <w:pPr>
        <w:autoSpaceDE w:val="0"/>
        <w:autoSpaceDN w:val="0"/>
        <w:adjustRightInd w:val="0"/>
        <w:spacing w:after="0" w:line="240" w:lineRule="auto"/>
        <w:jc w:val="both"/>
        <w:rPr>
          <w:rFonts w:cstheme="minorHAnsi"/>
        </w:rPr>
      </w:pPr>
      <w:r w:rsidRPr="00BF50C5">
        <w:rPr>
          <w:rFonts w:eastAsia="Montserrat-Regular" w:cstheme="minorHAnsi"/>
          <w:b/>
        </w:rPr>
        <w:t xml:space="preserve">Aktivity </w:t>
      </w:r>
      <w:r w:rsidR="00BC64AD" w:rsidRPr="00BF50C5">
        <w:rPr>
          <w:rFonts w:eastAsia="Montserrat-Regular" w:cstheme="minorHAnsi"/>
          <w:b/>
        </w:rPr>
        <w:t>regionů</w:t>
      </w:r>
      <w:r w:rsidR="004247C6" w:rsidRPr="00BF50C5">
        <w:rPr>
          <w:rFonts w:eastAsia="Montserrat-Regular" w:cstheme="minorHAnsi"/>
          <w:b/>
        </w:rPr>
        <w:t>:</w:t>
      </w:r>
      <w:r w:rsidR="004247C6" w:rsidRPr="0005128B">
        <w:rPr>
          <w:rFonts w:eastAsia="Montserrat-Regular" w:cstheme="minorHAnsi"/>
        </w:rPr>
        <w:t xml:space="preserve"> </w:t>
      </w:r>
      <w:r w:rsidR="00BF50C5">
        <w:rPr>
          <w:rFonts w:cstheme="minorHAnsi"/>
        </w:rPr>
        <w:t xml:space="preserve">např. </w:t>
      </w:r>
      <w:hyperlink r:id="rId13" w:history="1">
        <w:r w:rsidR="004247C6" w:rsidRPr="0005128B">
          <w:rPr>
            <w:rStyle w:val="Hypertextovodkaz"/>
            <w:rFonts w:cstheme="minorHAnsi"/>
          </w:rPr>
          <w:t xml:space="preserve">JIC </w:t>
        </w:r>
        <w:proofErr w:type="spellStart"/>
        <w:r w:rsidR="004247C6" w:rsidRPr="0005128B">
          <w:rPr>
            <w:rStyle w:val="Hypertextovodkaz"/>
            <w:rFonts w:cstheme="minorHAnsi"/>
          </w:rPr>
          <w:t>Ventures</w:t>
        </w:r>
        <w:proofErr w:type="spellEnd"/>
      </w:hyperlink>
    </w:p>
    <w:p w:rsidR="00BF50C5" w:rsidRPr="0005128B" w:rsidRDefault="00BF50C5" w:rsidP="005D422B">
      <w:pPr>
        <w:autoSpaceDE w:val="0"/>
        <w:autoSpaceDN w:val="0"/>
        <w:adjustRightInd w:val="0"/>
        <w:spacing w:after="0" w:line="240" w:lineRule="auto"/>
        <w:jc w:val="both"/>
        <w:rPr>
          <w:rFonts w:eastAsia="Montserrat-Regular" w:cstheme="minorHAnsi"/>
        </w:rPr>
      </w:pPr>
    </w:p>
    <w:p w:rsidR="007D158C" w:rsidRDefault="005D0D41" w:rsidP="005D422B">
      <w:pPr>
        <w:autoSpaceDE w:val="0"/>
        <w:autoSpaceDN w:val="0"/>
        <w:adjustRightInd w:val="0"/>
        <w:spacing w:after="0" w:line="240" w:lineRule="auto"/>
        <w:jc w:val="both"/>
        <w:rPr>
          <w:rFonts w:eastAsia="Montserrat-Regular" w:cstheme="minorHAnsi"/>
        </w:rPr>
      </w:pPr>
      <w:r w:rsidRPr="00BF50C5">
        <w:rPr>
          <w:rFonts w:eastAsia="Montserrat-Regular" w:cstheme="minorHAnsi"/>
          <w:b/>
        </w:rPr>
        <w:t>Aktivity soukromých subjektů:</w:t>
      </w:r>
      <w:r w:rsidRPr="0005128B">
        <w:rPr>
          <w:rFonts w:eastAsia="Montserrat-Regular" w:cstheme="minorHAnsi"/>
        </w:rPr>
        <w:t xml:space="preserve"> kromě soukromých investorů </w:t>
      </w:r>
      <w:r w:rsidR="00F00037" w:rsidRPr="0005128B">
        <w:rPr>
          <w:rFonts w:eastAsia="Montserrat-Regular" w:cstheme="minorHAnsi"/>
        </w:rPr>
        <w:t xml:space="preserve">(přes 23 venture </w:t>
      </w:r>
      <w:proofErr w:type="spellStart"/>
      <w:r w:rsidR="00F00037" w:rsidRPr="0005128B">
        <w:rPr>
          <w:rFonts w:eastAsia="Montserrat-Regular" w:cstheme="minorHAnsi"/>
        </w:rPr>
        <w:t>capital</w:t>
      </w:r>
      <w:proofErr w:type="spellEnd"/>
      <w:r w:rsidR="00F00037" w:rsidRPr="0005128B">
        <w:rPr>
          <w:rFonts w:eastAsia="Montserrat-Regular" w:cstheme="minorHAnsi"/>
        </w:rPr>
        <w:t xml:space="preserve"> fondů) </w:t>
      </w:r>
      <w:r w:rsidRPr="0005128B">
        <w:rPr>
          <w:rFonts w:eastAsia="Montserrat-Regular" w:cstheme="minorHAnsi"/>
        </w:rPr>
        <w:t>se angažují firmy jako</w:t>
      </w:r>
      <w:r w:rsidR="007D158C" w:rsidRPr="0005128B">
        <w:rPr>
          <w:rFonts w:eastAsia="Montserrat-Regular" w:cstheme="minorHAnsi"/>
        </w:rPr>
        <w:t xml:space="preserve"> </w:t>
      </w:r>
      <w:hyperlink r:id="rId14" w:history="1">
        <w:r w:rsidR="007D158C" w:rsidRPr="0005128B">
          <w:rPr>
            <w:rStyle w:val="Hypertextovodkaz"/>
            <w:rFonts w:eastAsia="Montserrat-Regular" w:cstheme="minorHAnsi"/>
          </w:rPr>
          <w:t>ČEZ</w:t>
        </w:r>
      </w:hyperlink>
      <w:r w:rsidR="007D158C" w:rsidRPr="0005128B">
        <w:rPr>
          <w:rFonts w:eastAsia="Montserrat-Regular" w:cstheme="minorHAnsi"/>
        </w:rPr>
        <w:t xml:space="preserve">, </w:t>
      </w:r>
      <w:hyperlink r:id="rId15" w:history="1">
        <w:r w:rsidR="007D158C" w:rsidRPr="0005128B">
          <w:rPr>
            <w:rStyle w:val="Hypertextovodkaz"/>
            <w:rFonts w:eastAsia="Montserrat-Regular" w:cstheme="minorHAnsi"/>
          </w:rPr>
          <w:t>UNIPETROL</w:t>
        </w:r>
      </w:hyperlink>
      <w:r w:rsidR="007D158C" w:rsidRPr="0005128B">
        <w:rPr>
          <w:rFonts w:eastAsia="Montserrat-Regular" w:cstheme="minorHAnsi"/>
        </w:rPr>
        <w:t xml:space="preserve">,  </w:t>
      </w:r>
    </w:p>
    <w:p w:rsidR="00BF50C5" w:rsidRPr="0005128B" w:rsidRDefault="00BF50C5" w:rsidP="005D422B">
      <w:pPr>
        <w:autoSpaceDE w:val="0"/>
        <w:autoSpaceDN w:val="0"/>
        <w:adjustRightInd w:val="0"/>
        <w:spacing w:after="0" w:line="240" w:lineRule="auto"/>
        <w:jc w:val="both"/>
        <w:rPr>
          <w:rFonts w:cstheme="minorHAnsi"/>
        </w:rPr>
      </w:pPr>
    </w:p>
    <w:p w:rsidR="004255A2" w:rsidRDefault="00BC64AD" w:rsidP="005D422B">
      <w:pPr>
        <w:autoSpaceDE w:val="0"/>
        <w:autoSpaceDN w:val="0"/>
        <w:adjustRightInd w:val="0"/>
        <w:spacing w:after="0" w:line="240" w:lineRule="auto"/>
        <w:jc w:val="both"/>
        <w:rPr>
          <w:rFonts w:cstheme="minorHAnsi"/>
          <w:bCs/>
        </w:rPr>
      </w:pPr>
      <w:r w:rsidRPr="00BF50C5">
        <w:rPr>
          <w:rFonts w:eastAsia="Montserrat-Regular" w:cstheme="minorHAnsi"/>
          <w:b/>
        </w:rPr>
        <w:t>Aktivity ústavu AV ČR:</w:t>
      </w:r>
      <w:r w:rsidRPr="0005128B">
        <w:rPr>
          <w:rFonts w:cstheme="minorHAnsi"/>
          <w:color w:val="000000"/>
        </w:rPr>
        <w:t xml:space="preserve"> </w:t>
      </w:r>
      <w:r w:rsidR="00BF50C5">
        <w:rPr>
          <w:rFonts w:cstheme="minorHAnsi"/>
          <w:color w:val="000000"/>
        </w:rPr>
        <w:t xml:space="preserve">např. </w:t>
      </w:r>
      <w:r w:rsidR="00BF50C5" w:rsidRPr="00BF50C5">
        <w:rPr>
          <w:rFonts w:eastAsia="Montserrat-Regular" w:cstheme="minorHAnsi"/>
          <w:b/>
        </w:rPr>
        <w:t xml:space="preserve">ÚOCHB </w:t>
      </w:r>
      <w:hyperlink r:id="rId16" w:history="1">
        <w:r w:rsidRPr="0005128B">
          <w:rPr>
            <w:rStyle w:val="Hypertextovodkaz"/>
            <w:rFonts w:cstheme="minorHAnsi"/>
            <w:bCs/>
          </w:rPr>
          <w:t xml:space="preserve">investiční fond </w:t>
        </w:r>
        <w:proofErr w:type="spellStart"/>
        <w:r w:rsidRPr="0005128B">
          <w:rPr>
            <w:rStyle w:val="Hypertextovodkaz"/>
            <w:rFonts w:cstheme="minorHAnsi"/>
            <w:bCs/>
          </w:rPr>
          <w:t>i&amp;i</w:t>
        </w:r>
        <w:proofErr w:type="spellEnd"/>
      </w:hyperlink>
      <w:r w:rsidRPr="0005128B">
        <w:rPr>
          <w:rFonts w:cstheme="minorHAnsi"/>
          <w:bCs/>
        </w:rPr>
        <w:t xml:space="preserve"> </w:t>
      </w:r>
    </w:p>
    <w:p w:rsidR="00E2488E" w:rsidRPr="0005128B" w:rsidRDefault="00E2488E" w:rsidP="005D422B">
      <w:pPr>
        <w:autoSpaceDE w:val="0"/>
        <w:autoSpaceDN w:val="0"/>
        <w:adjustRightInd w:val="0"/>
        <w:spacing w:after="0" w:line="240" w:lineRule="auto"/>
        <w:jc w:val="both"/>
        <w:rPr>
          <w:rFonts w:cstheme="minorHAnsi"/>
          <w:color w:val="000000"/>
        </w:rPr>
      </w:pPr>
    </w:p>
    <w:p w:rsidR="0054021A" w:rsidRPr="0005128B" w:rsidRDefault="00BF50C5" w:rsidP="00BF50C5">
      <w:pPr>
        <w:rPr>
          <w:rFonts w:cstheme="minorHAnsi"/>
          <w:b/>
        </w:rPr>
      </w:pPr>
      <w:r>
        <w:rPr>
          <w:rFonts w:cstheme="minorHAnsi"/>
          <w:b/>
        </w:rPr>
        <w:t xml:space="preserve">Aktivity vysokých škol: </w:t>
      </w:r>
      <w:r w:rsidRPr="00BF50C5">
        <w:rPr>
          <w:rFonts w:cstheme="minorHAnsi"/>
        </w:rPr>
        <w:t>směřují na p</w:t>
      </w:r>
      <w:r>
        <w:rPr>
          <w:rFonts w:cstheme="minorHAnsi"/>
        </w:rPr>
        <w:t>odporu</w:t>
      </w:r>
      <w:r w:rsidR="0054021A" w:rsidRPr="0005128B">
        <w:rPr>
          <w:rFonts w:cstheme="minorHAnsi"/>
        </w:rPr>
        <w:t xml:space="preserve"> studentských </w:t>
      </w:r>
      <w:proofErr w:type="spellStart"/>
      <w:r w:rsidR="0054021A" w:rsidRPr="0005128B">
        <w:rPr>
          <w:rFonts w:cstheme="minorHAnsi"/>
        </w:rPr>
        <w:t>startupů</w:t>
      </w:r>
      <w:proofErr w:type="spellEnd"/>
      <w:r>
        <w:rPr>
          <w:rFonts w:cstheme="minorHAnsi"/>
        </w:rPr>
        <w:t>. Podpora f</w:t>
      </w:r>
      <w:r w:rsidR="0054021A" w:rsidRPr="0005128B">
        <w:rPr>
          <w:rFonts w:cstheme="minorHAnsi"/>
        </w:rPr>
        <w:t xml:space="preserve">unguje nejméně 10 let a většina vysokých škol má fungující programy studentských akcelerátorů realizovaných buď vlastními silami, nebo v partnerství s inovačními centry (namátkou např. Green </w:t>
      </w:r>
      <w:proofErr w:type="spellStart"/>
      <w:r w:rsidR="0054021A" w:rsidRPr="0005128B">
        <w:rPr>
          <w:rFonts w:cstheme="minorHAnsi"/>
        </w:rPr>
        <w:t>Light</w:t>
      </w:r>
      <w:proofErr w:type="spellEnd"/>
      <w:r w:rsidR="0054021A" w:rsidRPr="0005128B">
        <w:rPr>
          <w:rFonts w:cstheme="minorHAnsi"/>
        </w:rPr>
        <w:t xml:space="preserve"> na VŠB-TU Ostrava, </w:t>
      </w:r>
      <w:proofErr w:type="spellStart"/>
      <w:r w:rsidR="0054021A" w:rsidRPr="0005128B">
        <w:rPr>
          <w:rFonts w:cstheme="minorHAnsi"/>
        </w:rPr>
        <w:t>xPort</w:t>
      </w:r>
      <w:proofErr w:type="spellEnd"/>
      <w:r w:rsidR="0054021A" w:rsidRPr="0005128B">
        <w:rPr>
          <w:rFonts w:cstheme="minorHAnsi"/>
        </w:rPr>
        <w:t xml:space="preserve"> na VŠE, programy JIC v partnerství s VUT, MUNI a MENDELU, inkubátor </w:t>
      </w:r>
      <w:proofErr w:type="spellStart"/>
      <w:r w:rsidR="0054021A" w:rsidRPr="0005128B">
        <w:rPr>
          <w:rFonts w:cstheme="minorHAnsi"/>
        </w:rPr>
        <w:t>InQbay</w:t>
      </w:r>
      <w:proofErr w:type="spellEnd"/>
      <w:r w:rsidR="0054021A" w:rsidRPr="0005128B">
        <w:rPr>
          <w:rFonts w:cstheme="minorHAnsi"/>
        </w:rPr>
        <w:t xml:space="preserve"> na ČVUT apod.). Tyto aktivity jsou </w:t>
      </w:r>
      <w:r w:rsidR="00E2488E">
        <w:rPr>
          <w:rFonts w:cstheme="minorHAnsi"/>
        </w:rPr>
        <w:t xml:space="preserve">většinou </w:t>
      </w:r>
      <w:bookmarkStart w:id="0" w:name="_GoBack"/>
      <w:bookmarkEnd w:id="0"/>
      <w:r w:rsidR="0054021A" w:rsidRPr="0005128B">
        <w:rPr>
          <w:rFonts w:cstheme="minorHAnsi"/>
        </w:rPr>
        <w:t>dlouhodobě podfinancované, vesměs</w:t>
      </w:r>
      <w:r>
        <w:rPr>
          <w:rFonts w:cstheme="minorHAnsi"/>
        </w:rPr>
        <w:t xml:space="preserve"> financované z lokálních zdrojů</w:t>
      </w:r>
      <w:r w:rsidR="0054021A" w:rsidRPr="0005128B">
        <w:rPr>
          <w:rFonts w:cstheme="minorHAnsi"/>
        </w:rPr>
        <w:t>.</w:t>
      </w:r>
    </w:p>
    <w:p w:rsidR="009D0ED3" w:rsidRPr="0005128B" w:rsidRDefault="009D0ED3" w:rsidP="005D422B">
      <w:pPr>
        <w:jc w:val="both"/>
        <w:rPr>
          <w:rFonts w:cstheme="minorHAnsi"/>
          <w:b/>
        </w:rPr>
      </w:pPr>
      <w:r w:rsidRPr="0005128B">
        <w:rPr>
          <w:rFonts w:cstheme="minorHAnsi"/>
          <w:b/>
        </w:rPr>
        <w:t>Nezdařené pokusy o státní kapitálové investice:</w:t>
      </w:r>
    </w:p>
    <w:p w:rsidR="009D0ED3" w:rsidRPr="00BF50C5" w:rsidRDefault="009D0ED3" w:rsidP="00BF50C5">
      <w:pPr>
        <w:pStyle w:val="Odstavecseseznamem"/>
        <w:numPr>
          <w:ilvl w:val="0"/>
          <w:numId w:val="6"/>
        </w:numPr>
        <w:autoSpaceDE w:val="0"/>
        <w:autoSpaceDN w:val="0"/>
        <w:adjustRightInd w:val="0"/>
        <w:spacing w:after="0" w:line="240" w:lineRule="auto"/>
        <w:ind w:left="709"/>
        <w:jc w:val="both"/>
        <w:rPr>
          <w:rFonts w:eastAsia="Calibri" w:cstheme="minorHAnsi"/>
        </w:rPr>
      </w:pPr>
      <w:r w:rsidRPr="00BF50C5">
        <w:rPr>
          <w:rFonts w:eastAsia="Calibri" w:cstheme="minorHAnsi"/>
        </w:rPr>
        <w:t>Národní inovační fond (</w:t>
      </w:r>
      <w:r w:rsidR="00BF50C5">
        <w:rPr>
          <w:rFonts w:eastAsia="Calibri" w:cstheme="minorHAnsi"/>
        </w:rPr>
        <w:t xml:space="preserve">konec </w:t>
      </w:r>
      <w:r w:rsidRPr="00BF50C5">
        <w:rPr>
          <w:rFonts w:eastAsia="Calibri" w:cstheme="minorHAnsi"/>
        </w:rPr>
        <w:t>2018 kvůli podmínce ČNB)</w:t>
      </w:r>
    </w:p>
    <w:p w:rsidR="009D0ED3" w:rsidRPr="00BF50C5" w:rsidRDefault="009D0ED3" w:rsidP="00BF50C5">
      <w:pPr>
        <w:pStyle w:val="Odstavecseseznamem"/>
        <w:numPr>
          <w:ilvl w:val="0"/>
          <w:numId w:val="6"/>
        </w:numPr>
        <w:autoSpaceDE w:val="0"/>
        <w:autoSpaceDN w:val="0"/>
        <w:adjustRightInd w:val="0"/>
        <w:spacing w:after="0" w:line="240" w:lineRule="auto"/>
        <w:ind w:left="709"/>
        <w:jc w:val="both"/>
        <w:rPr>
          <w:rFonts w:eastAsia="Calibri" w:cstheme="minorHAnsi"/>
        </w:rPr>
      </w:pPr>
      <w:proofErr w:type="spellStart"/>
      <w:r w:rsidRPr="00BF50C5">
        <w:rPr>
          <w:rFonts w:eastAsia="Calibri" w:cstheme="minorHAnsi"/>
        </w:rPr>
        <w:t>Seed</w:t>
      </w:r>
      <w:proofErr w:type="spellEnd"/>
      <w:r w:rsidRPr="00BF50C5">
        <w:rPr>
          <w:rFonts w:eastAsia="Calibri" w:cstheme="minorHAnsi"/>
        </w:rPr>
        <w:t xml:space="preserve"> fond (</w:t>
      </w:r>
      <w:r w:rsidR="00BF50C5">
        <w:rPr>
          <w:rFonts w:eastAsia="Calibri" w:cstheme="minorHAnsi"/>
        </w:rPr>
        <w:t xml:space="preserve">konec </w:t>
      </w:r>
      <w:r w:rsidRPr="00BF50C5">
        <w:rPr>
          <w:rFonts w:eastAsia="Calibri" w:cstheme="minorHAnsi"/>
        </w:rPr>
        <w:t>2015 kvůli odvolání u ÚOHS))</w:t>
      </w:r>
    </w:p>
    <w:p w:rsidR="002A68E5" w:rsidRPr="00FD74A5" w:rsidRDefault="002A68E5" w:rsidP="00FD74A5">
      <w:pPr>
        <w:rPr>
          <w:rFonts w:cstheme="minorHAnsi"/>
          <w:b/>
          <w:bCs/>
          <w:u w:val="single"/>
        </w:rPr>
      </w:pPr>
    </w:p>
    <w:p w:rsidR="00BA5FCA" w:rsidRPr="00FD74A5" w:rsidRDefault="00FD74A5" w:rsidP="00FD74A5">
      <w:pPr>
        <w:rPr>
          <w:rFonts w:cstheme="minorHAnsi"/>
          <w:b/>
          <w:bCs/>
          <w:u w:val="single"/>
        </w:rPr>
      </w:pPr>
      <w:r w:rsidRPr="00FD74A5">
        <w:rPr>
          <w:rFonts w:cstheme="minorHAnsi"/>
          <w:b/>
          <w:bCs/>
          <w:u w:val="single"/>
        </w:rPr>
        <w:t>Návrhy začlenění finančních nástrojů do l</w:t>
      </w:r>
      <w:r w:rsidR="000B30D4" w:rsidRPr="00FD74A5">
        <w:rPr>
          <w:rFonts w:cstheme="minorHAnsi"/>
          <w:b/>
          <w:bCs/>
          <w:u w:val="single"/>
        </w:rPr>
        <w:t>egislativ</w:t>
      </w:r>
      <w:r w:rsidRPr="00FD74A5">
        <w:rPr>
          <w:rFonts w:cstheme="minorHAnsi"/>
          <w:b/>
          <w:bCs/>
          <w:u w:val="single"/>
        </w:rPr>
        <w:t xml:space="preserve">y týkající se </w:t>
      </w:r>
      <w:proofErr w:type="spellStart"/>
      <w:r w:rsidRPr="00FD74A5">
        <w:rPr>
          <w:rFonts w:cstheme="minorHAnsi"/>
          <w:b/>
          <w:bCs/>
          <w:u w:val="single"/>
        </w:rPr>
        <w:t>VaVaI</w:t>
      </w:r>
      <w:proofErr w:type="spellEnd"/>
      <w:r w:rsidRPr="00FD74A5">
        <w:rPr>
          <w:rFonts w:cstheme="minorHAnsi"/>
          <w:b/>
          <w:bCs/>
          <w:u w:val="single"/>
        </w:rPr>
        <w:t xml:space="preserve"> </w:t>
      </w:r>
      <w:r w:rsidRPr="00FD74A5">
        <w:rPr>
          <w:rFonts w:cstheme="minorHAnsi"/>
          <w:bCs/>
          <w:u w:val="single"/>
        </w:rPr>
        <w:t xml:space="preserve">(zákon </w:t>
      </w:r>
      <w:r>
        <w:rPr>
          <w:rFonts w:cstheme="minorHAnsi"/>
          <w:bCs/>
          <w:u w:val="single"/>
        </w:rPr>
        <w:t xml:space="preserve">č. </w:t>
      </w:r>
      <w:r w:rsidRPr="00FD74A5">
        <w:rPr>
          <w:rFonts w:cstheme="minorHAnsi"/>
          <w:bCs/>
          <w:u w:val="single"/>
        </w:rPr>
        <w:t>130/2002 Sb.)</w:t>
      </w:r>
    </w:p>
    <w:p w:rsidR="00FD74A5" w:rsidRPr="00FD74A5" w:rsidRDefault="000B30D4" w:rsidP="00AF4DC0">
      <w:pPr>
        <w:pStyle w:val="Default"/>
        <w:numPr>
          <w:ilvl w:val="0"/>
          <w:numId w:val="1"/>
        </w:numPr>
        <w:ind w:left="284"/>
        <w:jc w:val="both"/>
        <w:rPr>
          <w:b/>
          <w:i/>
          <w:sz w:val="22"/>
          <w:szCs w:val="22"/>
        </w:rPr>
      </w:pPr>
      <w:r w:rsidRPr="00FD74A5">
        <w:rPr>
          <w:sz w:val="22"/>
          <w:szCs w:val="22"/>
        </w:rPr>
        <w:t>Poslední návrh novely z</w:t>
      </w:r>
      <w:r w:rsidR="00FD74A5" w:rsidRPr="00FD74A5">
        <w:rPr>
          <w:sz w:val="22"/>
          <w:szCs w:val="22"/>
        </w:rPr>
        <w:t>ákona č</w:t>
      </w:r>
      <w:r w:rsidRPr="00FD74A5">
        <w:rPr>
          <w:sz w:val="22"/>
          <w:szCs w:val="22"/>
        </w:rPr>
        <w:t xml:space="preserve">. 130/2002 Sb. obsahoval </w:t>
      </w:r>
      <w:r w:rsidRPr="00FD74A5">
        <w:rPr>
          <w:i/>
          <w:sz w:val="22"/>
          <w:szCs w:val="22"/>
        </w:rPr>
        <w:t xml:space="preserve">§ 4 (1) </w:t>
      </w:r>
      <w:r w:rsidR="00FD74A5" w:rsidRPr="00FD74A5">
        <w:rPr>
          <w:b/>
          <w:i/>
          <w:sz w:val="22"/>
          <w:szCs w:val="22"/>
        </w:rPr>
        <w:t>Účelová podpora je poskytována osobám formou dotace, návratné finanční výpomoci a dalšími formami podle § 4 odst. 2 zákona upravujícího podporu malého a středního podnikání. V případě organizačních složek státu a organizačních složek územních samosprávných celků je účelová podpora poskytována prostřednictvím zvýšení výdajů v rozpočtu příjemce.</w:t>
      </w:r>
    </w:p>
    <w:p w:rsidR="000B30D4" w:rsidRPr="002A68E5" w:rsidRDefault="000B30D4" w:rsidP="00FD74A5">
      <w:pPr>
        <w:ind w:left="284"/>
        <w:jc w:val="both"/>
        <w:rPr>
          <w:rFonts w:ascii="Times New Roman" w:hAnsi="Times New Roman" w:cs="Times New Roman"/>
        </w:rPr>
      </w:pPr>
      <w:r w:rsidRPr="002A68E5">
        <w:rPr>
          <w:rFonts w:ascii="Times New Roman" w:hAnsi="Times New Roman" w:cs="Times New Roman"/>
        </w:rPr>
        <w:t>Zdůvodnění: rozšíření forem podpory tak, že kromě dotace bude pro případ inovací umožněno využít v souladu s rozpočtovými pravidly také návratné finanční výpomoci</w:t>
      </w:r>
    </w:p>
    <w:p w:rsidR="000B30D4" w:rsidRPr="002A68E5" w:rsidRDefault="00FD74A5" w:rsidP="00FD74A5">
      <w:pPr>
        <w:pStyle w:val="Odstavecseseznamem"/>
        <w:numPr>
          <w:ilvl w:val="0"/>
          <w:numId w:val="1"/>
        </w:numPr>
        <w:ind w:left="284"/>
        <w:jc w:val="both"/>
        <w:rPr>
          <w:rFonts w:ascii="Times New Roman" w:hAnsi="Times New Roman" w:cs="Times New Roman"/>
        </w:rPr>
      </w:pPr>
      <w:r>
        <w:rPr>
          <w:rFonts w:ascii="Times New Roman" w:hAnsi="Times New Roman" w:cs="Times New Roman"/>
        </w:rPr>
        <w:t xml:space="preserve">Jeden z průběžných návrhů obsahoval úpravy: </w:t>
      </w:r>
      <w:r w:rsidRPr="00FD74A5">
        <w:rPr>
          <w:rFonts w:ascii="Times New Roman" w:hAnsi="Times New Roman" w:cs="Times New Roman"/>
          <w:i/>
        </w:rPr>
        <w:t xml:space="preserve">§ 4 </w:t>
      </w:r>
      <w:r w:rsidR="001F49AB" w:rsidRPr="00FD74A5">
        <w:rPr>
          <w:rFonts w:ascii="Times New Roman" w:hAnsi="Times New Roman" w:cs="Times New Roman"/>
          <w:i/>
        </w:rPr>
        <w:t xml:space="preserve">(1) Účelová podpora je poskytována </w:t>
      </w:r>
      <w:r w:rsidR="001F49AB" w:rsidRPr="00FD74A5">
        <w:rPr>
          <w:rFonts w:ascii="Times New Roman" w:hAnsi="Times New Roman" w:cs="Times New Roman"/>
          <w:b/>
          <w:bCs/>
          <w:i/>
        </w:rPr>
        <w:t xml:space="preserve">právnickým nebo fyzickým osobám </w:t>
      </w:r>
      <w:r w:rsidR="001F49AB" w:rsidRPr="00FD74A5">
        <w:rPr>
          <w:rFonts w:ascii="Times New Roman" w:hAnsi="Times New Roman" w:cs="Times New Roman"/>
          <w:i/>
        </w:rPr>
        <w:t>formou dotace</w:t>
      </w:r>
      <w:r w:rsidR="001F49AB" w:rsidRPr="00FD74A5">
        <w:rPr>
          <w:rFonts w:ascii="Times New Roman" w:hAnsi="Times New Roman" w:cs="Times New Roman"/>
          <w:b/>
          <w:bCs/>
          <w:i/>
        </w:rPr>
        <w:t xml:space="preserve">, půjčky, vratné zálohy, subvence úrokových sazeb, záruky, investice rizikového financování nebo formou investice na zahájení činnosti, pokud zajišťují cíle ve výzkumu, vývoji a inovacích, </w:t>
      </w:r>
      <w:r w:rsidR="001F49AB" w:rsidRPr="00FD74A5">
        <w:rPr>
          <w:rFonts w:ascii="Times New Roman" w:hAnsi="Times New Roman" w:cs="Times New Roman"/>
          <w:i/>
        </w:rPr>
        <w:t xml:space="preserve">právnickým nebo fyzickým osobám nebo zvýšením výdajů organizačních složek státu, organizačních složek územních samosprávných celků nebo organizačních jednotek ministerstva zabývajících se výzkumem a vývojem </w:t>
      </w:r>
      <w:proofErr w:type="gramStart"/>
      <w:r w:rsidR="001F49AB" w:rsidRPr="00FD74A5">
        <w:rPr>
          <w:rFonts w:ascii="Times New Roman" w:hAnsi="Times New Roman" w:cs="Times New Roman"/>
          <w:i/>
        </w:rPr>
        <w:t>na</w:t>
      </w:r>
      <w:proofErr w:type="gramEnd"/>
      <w:r w:rsidR="001F49AB" w:rsidRPr="00FD74A5">
        <w:rPr>
          <w:rFonts w:ascii="Times New Roman" w:hAnsi="Times New Roman" w:cs="Times New Roman"/>
          <w:i/>
        </w:rPr>
        <w:t xml:space="preserve"> …</w:t>
      </w:r>
    </w:p>
    <w:p w:rsidR="002A68E5" w:rsidRPr="002A68E5" w:rsidRDefault="002A68E5" w:rsidP="002A68E5">
      <w:pPr>
        <w:pStyle w:val="Odstavecseseznamem"/>
        <w:rPr>
          <w:rFonts w:ascii="Times New Roman" w:hAnsi="Times New Roman" w:cs="Times New Roman"/>
          <w:sz w:val="18"/>
          <w:szCs w:val="18"/>
        </w:rPr>
      </w:pPr>
    </w:p>
    <w:p w:rsidR="001F49AB" w:rsidRPr="00FD74A5" w:rsidRDefault="001F49AB" w:rsidP="003D4AFC">
      <w:pPr>
        <w:pStyle w:val="Odstavecseseznamem"/>
        <w:numPr>
          <w:ilvl w:val="0"/>
          <w:numId w:val="1"/>
        </w:numPr>
        <w:ind w:left="284"/>
        <w:rPr>
          <w:rFonts w:ascii="Times New Roman" w:eastAsia="Times New Roman" w:hAnsi="Times New Roman" w:cs="Times New Roman"/>
          <w:i/>
        </w:rPr>
      </w:pPr>
      <w:r w:rsidRPr="00FD74A5">
        <w:rPr>
          <w:rFonts w:ascii="Times New Roman" w:hAnsi="Times New Roman" w:cs="Times New Roman"/>
        </w:rPr>
        <w:t xml:space="preserve">Při dřívějších novelách </w:t>
      </w:r>
      <w:r w:rsidR="002A68E5" w:rsidRPr="00FD74A5">
        <w:rPr>
          <w:rFonts w:ascii="Times New Roman" w:hAnsi="Times New Roman" w:cs="Times New Roman"/>
        </w:rPr>
        <w:t xml:space="preserve">(2019) </w:t>
      </w:r>
      <w:r w:rsidRPr="00FD74A5">
        <w:rPr>
          <w:rFonts w:ascii="Times New Roman" w:hAnsi="Times New Roman" w:cs="Times New Roman"/>
        </w:rPr>
        <w:t>byl jeden z návrhů:</w:t>
      </w:r>
      <w:r w:rsidR="00FD74A5">
        <w:rPr>
          <w:rFonts w:ascii="Times New Roman" w:hAnsi="Times New Roman" w:cs="Times New Roman"/>
        </w:rPr>
        <w:br/>
      </w:r>
      <w:r w:rsidRPr="00FD74A5">
        <w:rPr>
          <w:rFonts w:ascii="Times New Roman" w:eastAsia="Times New Roman" w:hAnsi="Times New Roman" w:cs="Times New Roman"/>
          <w:i/>
        </w:rPr>
        <w:t xml:space="preserve">§ 4 (1) Účelová podpora je poskytována </w:t>
      </w:r>
      <w:r w:rsidRPr="00FD74A5">
        <w:rPr>
          <w:rFonts w:ascii="Times New Roman" w:eastAsia="Times New Roman" w:hAnsi="Times New Roman" w:cs="Times New Roman"/>
          <w:i/>
          <w:strike/>
        </w:rPr>
        <w:t>formou dotace</w:t>
      </w:r>
      <w:r w:rsidRPr="00FD74A5">
        <w:rPr>
          <w:rFonts w:ascii="Times New Roman" w:eastAsia="Times New Roman" w:hAnsi="Times New Roman" w:cs="Times New Roman"/>
          <w:i/>
        </w:rPr>
        <w:t xml:space="preserve"> právnickým nebo fyzickým osobám nebo zvýšením výdajů organizačních složek státu, organizačních složek územních samosprávných celků nebo organizačních jednotek ministerstva zabývajících</w:t>
      </w:r>
      <w:r w:rsidRPr="00FD74A5">
        <w:rPr>
          <w:rFonts w:ascii="Times New Roman" w:eastAsia="Times New Roman" w:hAnsi="Times New Roman" w:cs="Times New Roman"/>
          <w:b/>
          <w:i/>
        </w:rPr>
        <w:t xml:space="preserve"> </w:t>
      </w:r>
      <w:r w:rsidRPr="00FD74A5">
        <w:rPr>
          <w:rFonts w:ascii="Times New Roman" w:eastAsia="Times New Roman" w:hAnsi="Times New Roman" w:cs="Times New Roman"/>
          <w:i/>
        </w:rPr>
        <w:t xml:space="preserve">se výzkumem a vývojem </w:t>
      </w:r>
      <w:proofErr w:type="gramStart"/>
      <w:r w:rsidRPr="00FD74A5">
        <w:rPr>
          <w:rFonts w:ascii="Times New Roman" w:eastAsia="Times New Roman" w:hAnsi="Times New Roman" w:cs="Times New Roman"/>
          <w:i/>
        </w:rPr>
        <w:t>na</w:t>
      </w:r>
      <w:proofErr w:type="gramEnd"/>
      <w:r w:rsidRPr="00FD74A5">
        <w:rPr>
          <w:rFonts w:ascii="Times New Roman" w:eastAsia="Times New Roman" w:hAnsi="Times New Roman" w:cs="Times New Roman"/>
          <w:i/>
        </w:rPr>
        <w:t>…</w:t>
      </w:r>
    </w:p>
    <w:p w:rsidR="001F49AB" w:rsidRPr="00FD74A5" w:rsidRDefault="001F49AB" w:rsidP="00FD74A5">
      <w:pPr>
        <w:widowControl w:val="0"/>
        <w:spacing w:after="0" w:line="240" w:lineRule="auto"/>
        <w:ind w:firstLine="284"/>
        <w:jc w:val="both"/>
        <w:rPr>
          <w:rFonts w:ascii="Times New Roman" w:eastAsia="Times New Roman" w:hAnsi="Times New Roman" w:cs="Times New Roman"/>
          <w:b/>
          <w:i/>
        </w:rPr>
      </w:pPr>
      <w:r w:rsidRPr="00FD74A5">
        <w:rPr>
          <w:rFonts w:ascii="Times New Roman" w:eastAsia="Times New Roman" w:hAnsi="Times New Roman" w:cs="Times New Roman"/>
          <w:i/>
        </w:rPr>
        <w:t>§ 4</w:t>
      </w:r>
      <w:r w:rsidR="00FD74A5" w:rsidRPr="00FD74A5">
        <w:rPr>
          <w:rFonts w:ascii="Times New Roman" w:eastAsia="Times New Roman" w:hAnsi="Times New Roman" w:cs="Times New Roman"/>
          <w:b/>
          <w:i/>
        </w:rPr>
        <w:t xml:space="preserve"> </w:t>
      </w:r>
      <w:r w:rsidRPr="00FD74A5">
        <w:rPr>
          <w:rFonts w:ascii="Times New Roman" w:eastAsia="Times New Roman" w:hAnsi="Times New Roman" w:cs="Times New Roman"/>
          <w:b/>
          <w:i/>
        </w:rPr>
        <w:t>(2) Účelovou podporu lze poskytnout formou</w:t>
      </w:r>
    </w:p>
    <w:p w:rsidR="001F49AB" w:rsidRPr="00FD74A5" w:rsidRDefault="001F49AB" w:rsidP="00FD74A5">
      <w:pPr>
        <w:pBdr>
          <w:top w:val="nil"/>
          <w:left w:val="nil"/>
          <w:bottom w:val="nil"/>
          <w:right w:val="nil"/>
          <w:between w:val="nil"/>
        </w:pBdr>
        <w:tabs>
          <w:tab w:val="left" w:pos="426"/>
          <w:tab w:val="left" w:pos="567"/>
        </w:tabs>
        <w:spacing w:after="60" w:line="288" w:lineRule="auto"/>
        <w:ind w:left="426"/>
        <w:jc w:val="both"/>
        <w:rPr>
          <w:rFonts w:ascii="Times New Roman" w:eastAsia="Times New Roman" w:hAnsi="Times New Roman" w:cs="Times New Roman"/>
          <w:b/>
          <w:i/>
          <w:color w:val="000000"/>
        </w:rPr>
      </w:pPr>
      <w:r w:rsidRPr="00FD74A5">
        <w:rPr>
          <w:rFonts w:ascii="Times New Roman" w:eastAsia="Times New Roman" w:hAnsi="Times New Roman" w:cs="Times New Roman"/>
          <w:b/>
          <w:i/>
          <w:color w:val="000000"/>
        </w:rPr>
        <w:t xml:space="preserve">a) dotace, nebo zvýšením výdajů organizačních složek státu, organizačních složek územních samosprávných celků </w:t>
      </w:r>
      <w:r w:rsidRPr="00FD74A5">
        <w:rPr>
          <w:rFonts w:ascii="Times New Roman" w:eastAsia="Times New Roman" w:hAnsi="Times New Roman" w:cs="Times New Roman"/>
          <w:b/>
          <w:i/>
          <w:color w:val="000000"/>
          <w:vertAlign w:val="superscript"/>
        </w:rPr>
        <w:t>53)</w:t>
      </w:r>
      <w:r w:rsidRPr="00FD74A5">
        <w:rPr>
          <w:rFonts w:ascii="Times New Roman" w:eastAsia="Times New Roman" w:hAnsi="Times New Roman" w:cs="Times New Roman"/>
          <w:b/>
          <w:i/>
          <w:color w:val="000000"/>
        </w:rPr>
        <w:t>,</w:t>
      </w:r>
    </w:p>
    <w:p w:rsidR="001F49AB" w:rsidRPr="00FD74A5" w:rsidRDefault="001F49AB" w:rsidP="00FD74A5">
      <w:pPr>
        <w:pBdr>
          <w:top w:val="nil"/>
          <w:left w:val="nil"/>
          <w:bottom w:val="nil"/>
          <w:right w:val="nil"/>
          <w:between w:val="nil"/>
        </w:pBdr>
        <w:tabs>
          <w:tab w:val="left" w:pos="426"/>
          <w:tab w:val="left" w:pos="567"/>
        </w:tabs>
        <w:spacing w:after="60" w:line="288" w:lineRule="auto"/>
        <w:ind w:left="426"/>
        <w:jc w:val="both"/>
        <w:rPr>
          <w:rFonts w:ascii="Times New Roman" w:eastAsia="Times New Roman" w:hAnsi="Times New Roman" w:cs="Times New Roman"/>
          <w:b/>
          <w:i/>
          <w:color w:val="000000"/>
        </w:rPr>
      </w:pPr>
      <w:r w:rsidRPr="00FD74A5">
        <w:rPr>
          <w:rFonts w:ascii="Times New Roman" w:eastAsia="Times New Roman" w:hAnsi="Times New Roman" w:cs="Times New Roman"/>
          <w:b/>
          <w:i/>
          <w:color w:val="000000"/>
        </w:rPr>
        <w:lastRenderedPageBreak/>
        <w:t xml:space="preserve">b) dotace s podílem na zisku, kterou se ve výzkumu, vývoji a inovacích rozumí dotace, jejíž část příjemce na základě příjmů z realizace výsledků vrací za podmínek stanovených programem poskytovateli </w:t>
      </w:r>
      <w:r w:rsidRPr="00FD74A5">
        <w:rPr>
          <w:rFonts w:ascii="Times New Roman" w:eastAsia="Times New Roman" w:hAnsi="Times New Roman" w:cs="Times New Roman"/>
          <w:b/>
          <w:i/>
          <w:color w:val="000000"/>
          <w:vertAlign w:val="superscript"/>
        </w:rPr>
        <w:t>53)</w:t>
      </w:r>
      <w:r w:rsidRPr="00FD74A5">
        <w:rPr>
          <w:rFonts w:ascii="Times New Roman" w:eastAsia="Times New Roman" w:hAnsi="Times New Roman" w:cs="Times New Roman"/>
          <w:b/>
          <w:i/>
          <w:color w:val="000000"/>
        </w:rPr>
        <w:t>,</w:t>
      </w:r>
    </w:p>
    <w:p w:rsidR="001F49AB" w:rsidRPr="00FD74A5" w:rsidRDefault="001F49AB" w:rsidP="00FD74A5">
      <w:pPr>
        <w:pBdr>
          <w:top w:val="nil"/>
          <w:left w:val="nil"/>
          <w:bottom w:val="nil"/>
          <w:right w:val="nil"/>
          <w:between w:val="nil"/>
        </w:pBdr>
        <w:tabs>
          <w:tab w:val="left" w:pos="426"/>
          <w:tab w:val="left" w:pos="567"/>
        </w:tabs>
        <w:spacing w:after="120" w:line="288" w:lineRule="auto"/>
        <w:ind w:left="426"/>
        <w:jc w:val="both"/>
        <w:rPr>
          <w:rFonts w:ascii="Times New Roman" w:eastAsia="Times New Roman" w:hAnsi="Times New Roman" w:cs="Times New Roman"/>
          <w:b/>
          <w:i/>
          <w:color w:val="000000"/>
        </w:rPr>
      </w:pPr>
      <w:r w:rsidRPr="00FD74A5">
        <w:rPr>
          <w:rFonts w:ascii="Times New Roman" w:eastAsia="Times New Roman" w:hAnsi="Times New Roman" w:cs="Times New Roman"/>
          <w:b/>
          <w:i/>
          <w:color w:val="000000"/>
        </w:rPr>
        <w:t xml:space="preserve">c) dotace na úhradu ceny veřejné zakázky ve výzkumu, vývoji a inovacích, </w:t>
      </w:r>
    </w:p>
    <w:p w:rsidR="001F49AB" w:rsidRPr="00FD74A5" w:rsidRDefault="001F49AB" w:rsidP="00FD74A5">
      <w:pPr>
        <w:ind w:left="426"/>
        <w:jc w:val="both"/>
        <w:rPr>
          <w:rFonts w:ascii="Times New Roman" w:eastAsia="Times New Roman" w:hAnsi="Times New Roman" w:cs="Times New Roman"/>
          <w:b/>
          <w:i/>
          <w:color w:val="000000"/>
        </w:rPr>
      </w:pPr>
      <w:r w:rsidRPr="00FD74A5">
        <w:rPr>
          <w:rFonts w:ascii="Times New Roman" w:eastAsia="Times New Roman" w:hAnsi="Times New Roman" w:cs="Times New Roman"/>
          <w:b/>
          <w:i/>
          <w:color w:val="000000"/>
        </w:rPr>
        <w:t>d) návratné finanční výpomoci</w:t>
      </w:r>
      <w:r w:rsidRPr="00FD74A5">
        <w:rPr>
          <w:rFonts w:ascii="Times New Roman" w:eastAsia="Times New Roman" w:hAnsi="Times New Roman" w:cs="Times New Roman"/>
          <w:b/>
          <w:i/>
          <w:color w:val="000000"/>
          <w:vertAlign w:val="superscript"/>
        </w:rPr>
        <w:t>54)</w:t>
      </w:r>
      <w:r w:rsidRPr="00FD74A5">
        <w:rPr>
          <w:rFonts w:ascii="Times New Roman" w:eastAsia="Times New Roman" w:hAnsi="Times New Roman" w:cs="Times New Roman"/>
          <w:b/>
          <w:i/>
          <w:color w:val="000000"/>
        </w:rPr>
        <w:t>, kterou se ve výzkumu, vývoji a inovacích rozumí podpora programových projektů, jejíž část příjemce po ukončení řešení projektu vrací poskytovateli.</w:t>
      </w:r>
    </w:p>
    <w:p w:rsidR="00455F2C" w:rsidRPr="00FD74A5" w:rsidRDefault="00455F2C" w:rsidP="00FD74A5">
      <w:pPr>
        <w:ind w:left="426"/>
        <w:jc w:val="both"/>
        <w:rPr>
          <w:rFonts w:ascii="Times New Roman" w:eastAsia="Times New Roman" w:hAnsi="Times New Roman" w:cs="Times New Roman"/>
          <w:b/>
          <w:i/>
          <w:color w:val="000000"/>
        </w:rPr>
      </w:pPr>
      <w:r w:rsidRPr="00FD74A5">
        <w:rPr>
          <w:rFonts w:ascii="Times New Roman" w:eastAsia="Times New Roman" w:hAnsi="Times New Roman" w:cs="Times New Roman"/>
          <w:i/>
        </w:rPr>
        <w:t>§ 4</w:t>
      </w:r>
      <w:r w:rsidRPr="00FD74A5">
        <w:rPr>
          <w:rFonts w:ascii="Times New Roman" w:eastAsia="Times New Roman" w:hAnsi="Times New Roman" w:cs="Times New Roman"/>
          <w:b/>
          <w:i/>
        </w:rPr>
        <w:t xml:space="preserve"> (3</w:t>
      </w:r>
      <w:r w:rsidRPr="00FD74A5">
        <w:rPr>
          <w:rFonts w:ascii="Times New Roman" w:eastAsia="Times New Roman" w:hAnsi="Times New Roman" w:cs="Times New Roman"/>
          <w:i/>
        </w:rPr>
        <w:t xml:space="preserve">) Institucionální podpora je poskytována z výdajů na výzkum, vývoj a inovace </w:t>
      </w:r>
      <w:proofErr w:type="gramStart"/>
      <w:r w:rsidRPr="00FD74A5">
        <w:rPr>
          <w:rFonts w:ascii="Times New Roman" w:eastAsia="Times New Roman" w:hAnsi="Times New Roman" w:cs="Times New Roman"/>
          <w:i/>
        </w:rPr>
        <w:t>na</w:t>
      </w:r>
      <w:proofErr w:type="gramEnd"/>
    </w:p>
    <w:p w:rsidR="00455F2C" w:rsidRPr="00FD74A5" w:rsidRDefault="00455F2C" w:rsidP="00FD74A5">
      <w:pPr>
        <w:widowControl w:val="0"/>
        <w:spacing w:after="0" w:line="240" w:lineRule="auto"/>
        <w:ind w:left="426"/>
        <w:jc w:val="both"/>
        <w:rPr>
          <w:rFonts w:ascii="Times New Roman" w:eastAsia="Times New Roman" w:hAnsi="Times New Roman" w:cs="Times New Roman"/>
          <w:b/>
          <w:i/>
        </w:rPr>
      </w:pPr>
      <w:r w:rsidRPr="00FD74A5">
        <w:rPr>
          <w:rFonts w:ascii="Times New Roman" w:eastAsia="Times New Roman" w:hAnsi="Times New Roman" w:cs="Times New Roman"/>
          <w:b/>
          <w:i/>
        </w:rPr>
        <w:t xml:space="preserve">d) </w:t>
      </w:r>
      <w:r w:rsidRPr="00FD74A5">
        <w:rPr>
          <w:rFonts w:ascii="Times New Roman" w:eastAsia="Times New Roman" w:hAnsi="Times New Roman" w:cs="Times New Roman"/>
          <w:b/>
          <w:i/>
          <w:color w:val="000000"/>
        </w:rPr>
        <w:t>na příspěvky do fondů dle občanského zákoníku</w:t>
      </w:r>
      <w:r w:rsidRPr="00FD74A5">
        <w:rPr>
          <w:rFonts w:ascii="Times New Roman" w:eastAsia="Times New Roman" w:hAnsi="Times New Roman" w:cs="Times New Roman"/>
          <w:b/>
          <w:i/>
          <w:color w:val="000000"/>
          <w:vertAlign w:val="superscript"/>
        </w:rPr>
        <w:t>62)</w:t>
      </w:r>
      <w:r w:rsidRPr="00FD74A5">
        <w:rPr>
          <w:rFonts w:ascii="Times New Roman" w:eastAsia="Times New Roman" w:hAnsi="Times New Roman" w:cs="Times New Roman"/>
          <w:b/>
          <w:i/>
          <w:color w:val="000000"/>
        </w:rPr>
        <w:t xml:space="preserve"> podle § 3 odst. 3 písm. d) z rozpočtové kapitoly příslušného poskytovatele,</w:t>
      </w:r>
    </w:p>
    <w:p w:rsidR="00455F2C" w:rsidRDefault="00455F2C" w:rsidP="00FD74A5">
      <w:pPr>
        <w:ind w:left="426"/>
        <w:rPr>
          <w:rFonts w:ascii="Times New Roman" w:eastAsia="Times New Roman" w:hAnsi="Times New Roman" w:cs="Times New Roman"/>
          <w:b/>
          <w:color w:val="000000"/>
          <w:sz w:val="20"/>
          <w:szCs w:val="20"/>
        </w:rPr>
      </w:pPr>
    </w:p>
    <w:p w:rsidR="002A68E5" w:rsidRPr="002A68E5" w:rsidRDefault="002A68E5" w:rsidP="00FD74A5">
      <w:pPr>
        <w:ind w:left="426"/>
        <w:rPr>
          <w:rFonts w:ascii="Times New Roman" w:eastAsia="Times New Roman" w:hAnsi="Times New Roman" w:cs="Times New Roman"/>
          <w:b/>
          <w:color w:val="000000"/>
          <w:sz w:val="20"/>
          <w:szCs w:val="20"/>
        </w:rPr>
      </w:pPr>
      <w:r w:rsidRPr="002A68E5">
        <w:rPr>
          <w:rFonts w:ascii="Times New Roman" w:hAnsi="Times New Roman" w:cs="Times New Roman"/>
        </w:rPr>
        <w:t>Zdůvodnění:</w:t>
      </w:r>
    </w:p>
    <w:p w:rsidR="00455F2C" w:rsidRPr="002A68E5" w:rsidRDefault="00455F2C" w:rsidP="00FD74A5">
      <w:pPr>
        <w:pBdr>
          <w:top w:val="nil"/>
          <w:left w:val="nil"/>
          <w:bottom w:val="nil"/>
          <w:right w:val="nil"/>
          <w:between w:val="nil"/>
        </w:pBdr>
        <w:spacing w:before="120" w:after="120" w:line="276" w:lineRule="auto"/>
        <w:ind w:left="426"/>
        <w:jc w:val="both"/>
        <w:rPr>
          <w:rFonts w:ascii="Times New Roman" w:eastAsia="Times New Roman" w:hAnsi="Times New Roman" w:cs="Times New Roman"/>
          <w:color w:val="000000" w:themeColor="text1"/>
          <w:u w:val="single"/>
        </w:rPr>
      </w:pPr>
      <w:r w:rsidRPr="002A68E5">
        <w:rPr>
          <w:rFonts w:ascii="Times New Roman" w:eastAsia="Times New Roman" w:hAnsi="Times New Roman" w:cs="Times New Roman"/>
          <w:color w:val="000000" w:themeColor="text1"/>
          <w:u w:val="single"/>
        </w:rPr>
        <w:t>K bodu 13 - § 4 nově vkládaný odst. 2</w:t>
      </w:r>
    </w:p>
    <w:p w:rsidR="00455F2C" w:rsidRPr="002A68E5" w:rsidRDefault="00455F2C" w:rsidP="00FD74A5">
      <w:pPr>
        <w:pBdr>
          <w:top w:val="nil"/>
          <w:left w:val="nil"/>
          <w:bottom w:val="nil"/>
          <w:right w:val="nil"/>
          <w:between w:val="nil"/>
        </w:pBdr>
        <w:spacing w:before="120" w:after="120" w:line="276" w:lineRule="auto"/>
        <w:ind w:left="426"/>
        <w:jc w:val="both"/>
        <w:rPr>
          <w:rFonts w:ascii="Times New Roman" w:eastAsia="Times New Roman" w:hAnsi="Times New Roman" w:cs="Times New Roman"/>
          <w:color w:val="000000" w:themeColor="text1"/>
        </w:rPr>
      </w:pPr>
      <w:r w:rsidRPr="002A68E5">
        <w:rPr>
          <w:rFonts w:ascii="Times New Roman" w:eastAsia="Times New Roman" w:hAnsi="Times New Roman" w:cs="Times New Roman"/>
          <w:color w:val="000000" w:themeColor="text1"/>
        </w:rPr>
        <w:t>Navržené doplnění umožní poskytnutí dalších forem podpory výzkumu, vývoje a inovací nad rámec dosavadní výhradní formy nevratné dotace. Tyto formy nejsou v souladu s dosavadní koncepcí zákona zahrnuty do definic, jelikož jejich význam vyplývá z jiných právních předpisů, zejména zákona č. 218/2000 Sb., o rozpočtových pravidlech a o změně některých souvisejících zákonů, ve znění pozdějších předpisů.</w:t>
      </w:r>
    </w:p>
    <w:p w:rsidR="00455F2C" w:rsidRPr="002A68E5" w:rsidRDefault="00455F2C" w:rsidP="00FD74A5">
      <w:pPr>
        <w:pBdr>
          <w:top w:val="nil"/>
          <w:left w:val="nil"/>
          <w:bottom w:val="nil"/>
          <w:right w:val="nil"/>
          <w:between w:val="nil"/>
        </w:pBdr>
        <w:spacing w:before="120" w:after="120" w:line="276" w:lineRule="auto"/>
        <w:ind w:left="426"/>
        <w:jc w:val="both"/>
        <w:rPr>
          <w:rFonts w:ascii="Times New Roman" w:eastAsia="Times New Roman" w:hAnsi="Times New Roman" w:cs="Times New Roman"/>
          <w:color w:val="000000" w:themeColor="text1"/>
        </w:rPr>
      </w:pPr>
      <w:r w:rsidRPr="002A68E5">
        <w:rPr>
          <w:rFonts w:ascii="Times New Roman" w:eastAsia="Times New Roman" w:hAnsi="Times New Roman" w:cs="Times New Roman"/>
          <w:color w:val="000000" w:themeColor="text1"/>
        </w:rPr>
        <w:t>Základním nástrojem veřejné podpory výzkumu a vývoje zůstávají nevratné dotace jako nepochybně dominantní forma pro celou oblast výzkumu, vývoje a inovací. Nevratné dotace budou plně v souladu se zákonem č. 218/2000 Sb., o rozpočtových pravidlech a o změně některých souvisejících zákonů, ve znění pozdějších předpisů, doplněny následujícími nástroji:</w:t>
      </w:r>
    </w:p>
    <w:p w:rsidR="00455F2C" w:rsidRPr="002A68E5" w:rsidRDefault="00455F2C" w:rsidP="00FD74A5">
      <w:pPr>
        <w:pBdr>
          <w:top w:val="nil"/>
          <w:left w:val="nil"/>
          <w:bottom w:val="nil"/>
          <w:right w:val="nil"/>
          <w:between w:val="nil"/>
        </w:pBdr>
        <w:spacing w:before="120" w:after="120" w:line="276" w:lineRule="auto"/>
        <w:ind w:left="426"/>
        <w:jc w:val="both"/>
        <w:rPr>
          <w:rFonts w:ascii="Times New Roman" w:eastAsia="Times New Roman" w:hAnsi="Times New Roman" w:cs="Times New Roman"/>
          <w:color w:val="000000" w:themeColor="text1"/>
        </w:rPr>
      </w:pPr>
      <w:r w:rsidRPr="002A68E5">
        <w:rPr>
          <w:rFonts w:ascii="Times New Roman" w:eastAsia="Times New Roman" w:hAnsi="Times New Roman" w:cs="Times New Roman"/>
          <w:color w:val="000000" w:themeColor="text1"/>
        </w:rPr>
        <w:t>a) návratná finanční výpomoc (ve smyslu zákona č. 218/2000 Sb., o rozpočtových pravidlech),</w:t>
      </w:r>
    </w:p>
    <w:p w:rsidR="00455F2C" w:rsidRPr="002A68E5" w:rsidRDefault="00455F2C" w:rsidP="00FD74A5">
      <w:pPr>
        <w:pBdr>
          <w:top w:val="nil"/>
          <w:left w:val="nil"/>
          <w:bottom w:val="nil"/>
          <w:right w:val="nil"/>
          <w:between w:val="nil"/>
        </w:pBdr>
        <w:spacing w:before="120" w:after="120" w:line="276" w:lineRule="auto"/>
        <w:ind w:left="426"/>
        <w:jc w:val="both"/>
        <w:rPr>
          <w:rFonts w:ascii="Times New Roman" w:eastAsia="Times New Roman" w:hAnsi="Times New Roman" w:cs="Times New Roman"/>
          <w:color w:val="000000" w:themeColor="text1"/>
        </w:rPr>
      </w:pPr>
      <w:r w:rsidRPr="002A68E5">
        <w:rPr>
          <w:rFonts w:ascii="Times New Roman" w:eastAsia="Times New Roman" w:hAnsi="Times New Roman" w:cs="Times New Roman"/>
          <w:color w:val="000000" w:themeColor="text1"/>
        </w:rPr>
        <w:t>b) dotace s podmíněnou návratností (tedy speciální typ dotace - ve smyslu zákona č. 218/2000 Sb.), u které pravidla programu podpory stanoví možnost jejího částečného vracení například na bázi podílu z čistých příjmů projektu, podílu z licenčních poplatků apod. U tohoto nástroje se předpokládá větší míra využití tam, kde se projekty blíží praktickým aplikacím poznatků (tedy bez využití v základním výzkumu, více v aplikovaném výzkumu a výrazněji ve vývoji a inovacích při transferu znalostí).</w:t>
      </w:r>
    </w:p>
    <w:p w:rsidR="00455F2C" w:rsidRPr="002A68E5" w:rsidRDefault="00455F2C" w:rsidP="00FD74A5">
      <w:pPr>
        <w:pBdr>
          <w:top w:val="nil"/>
          <w:left w:val="nil"/>
          <w:bottom w:val="nil"/>
          <w:right w:val="nil"/>
          <w:between w:val="nil"/>
        </w:pBdr>
        <w:spacing w:before="120" w:after="120" w:line="276" w:lineRule="auto"/>
        <w:ind w:left="426"/>
        <w:jc w:val="both"/>
        <w:rPr>
          <w:rFonts w:ascii="Times New Roman" w:eastAsia="Times New Roman" w:hAnsi="Times New Roman" w:cs="Times New Roman"/>
          <w:color w:val="000000" w:themeColor="text1"/>
        </w:rPr>
      </w:pPr>
      <w:r w:rsidRPr="002A68E5">
        <w:rPr>
          <w:rFonts w:ascii="Times New Roman" w:eastAsia="Times New Roman" w:hAnsi="Times New Roman" w:cs="Times New Roman"/>
          <w:color w:val="000000" w:themeColor="text1"/>
        </w:rPr>
        <w:t>Forma dotace s podmíněnou návratností je promítnutím koncepce nástroje vratné pomoci upravené v článku 67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p w:rsidR="00455F2C" w:rsidRPr="002A68E5" w:rsidRDefault="00455F2C" w:rsidP="00FD74A5">
      <w:pPr>
        <w:pBdr>
          <w:top w:val="nil"/>
          <w:left w:val="nil"/>
          <w:bottom w:val="nil"/>
          <w:right w:val="nil"/>
          <w:between w:val="nil"/>
        </w:pBdr>
        <w:spacing w:before="120" w:after="120" w:line="276" w:lineRule="auto"/>
        <w:ind w:left="426"/>
        <w:jc w:val="both"/>
        <w:rPr>
          <w:rFonts w:ascii="Times New Roman" w:eastAsia="Times New Roman" w:hAnsi="Times New Roman" w:cs="Times New Roman"/>
          <w:color w:val="000000" w:themeColor="text1"/>
          <w:u w:val="single"/>
        </w:rPr>
      </w:pPr>
      <w:r w:rsidRPr="002A68E5">
        <w:rPr>
          <w:rFonts w:ascii="Times New Roman" w:eastAsia="Times New Roman" w:hAnsi="Times New Roman" w:cs="Times New Roman"/>
          <w:color w:val="000000" w:themeColor="text1"/>
          <w:u w:val="single"/>
        </w:rPr>
        <w:t>K bodu 15 - § 4 odst. 3 nově vkládané písm. d)</w:t>
      </w:r>
    </w:p>
    <w:p w:rsidR="00455F2C" w:rsidRPr="002A68E5" w:rsidRDefault="00455F2C" w:rsidP="00FD74A5">
      <w:pPr>
        <w:pBdr>
          <w:top w:val="nil"/>
          <w:left w:val="nil"/>
          <w:bottom w:val="nil"/>
          <w:right w:val="nil"/>
          <w:between w:val="nil"/>
        </w:pBdr>
        <w:spacing w:before="120" w:after="120" w:line="276" w:lineRule="auto"/>
        <w:ind w:left="426"/>
        <w:jc w:val="both"/>
        <w:rPr>
          <w:rFonts w:ascii="Times New Roman" w:eastAsia="Times New Roman" w:hAnsi="Times New Roman" w:cs="Times New Roman"/>
          <w:color w:val="000000" w:themeColor="text1"/>
        </w:rPr>
      </w:pPr>
      <w:r w:rsidRPr="002A68E5">
        <w:rPr>
          <w:rFonts w:ascii="Times New Roman" w:eastAsia="Times New Roman" w:hAnsi="Times New Roman" w:cs="Times New Roman"/>
          <w:color w:val="000000" w:themeColor="text1"/>
        </w:rPr>
        <w:t xml:space="preserve">Navrhovaná změna navazuje na bod 8. Nové písm. d), zahrnuje navrhované umožnění zřízení fondů za účelem podpory výzkumu a experimentálního vývoje. Tyto fondy umožní rozšíření možností poskytování podpory formou sdružování soukromých a veřejných prostředků. Poptávka po takovém nástroji ze strany soukromých subjektů existuje již delší dobu, přičemž tyto nástroje mohou za přispění finančních prostředků ze soukromých zdrojů lépe reflektovat potřeby trhu na poli výzkumu, vývoje a inovací, a tím lépe zacílit část podpory tak, aby systém co nejvíce a co </w:t>
      </w:r>
      <w:r w:rsidRPr="002A68E5">
        <w:rPr>
          <w:rFonts w:ascii="Times New Roman" w:eastAsia="Times New Roman" w:hAnsi="Times New Roman" w:cs="Times New Roman"/>
          <w:color w:val="000000" w:themeColor="text1"/>
        </w:rPr>
        <w:lastRenderedPageBreak/>
        <w:t>nejpřímější cestou přispíval ke zvýšení konkurenceschopnosti České republiky. Vzhledem k provázanosti ustanovení je nutné provést změnu v § 3 i v § 4.</w:t>
      </w:r>
    </w:p>
    <w:p w:rsidR="00455F2C" w:rsidRPr="002A68E5" w:rsidRDefault="00455F2C" w:rsidP="001F49AB">
      <w:pPr>
        <w:rPr>
          <w:rFonts w:ascii="Times New Roman" w:hAnsi="Times New Roman" w:cs="Times New Roman"/>
        </w:rPr>
      </w:pPr>
    </w:p>
    <w:sectPr w:rsidR="00455F2C" w:rsidRPr="002A68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Regular">
    <w:altName w:val="MS Gothic"/>
    <w:panose1 w:val="00000000000000000000"/>
    <w:charset w:val="80"/>
    <w:family w:val="swiss"/>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6E062FB"/>
    <w:multiLevelType w:val="hybridMultilevel"/>
    <w:tmpl w:val="1796E1A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CA04A3B"/>
    <w:multiLevelType w:val="hybridMultilevel"/>
    <w:tmpl w:val="06AE95D0"/>
    <w:lvl w:ilvl="0" w:tplc="1C5437D0">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2444007A"/>
    <w:multiLevelType w:val="hybridMultilevel"/>
    <w:tmpl w:val="1274485C"/>
    <w:lvl w:ilvl="0" w:tplc="1C5437D0">
      <w:numFmt w:val="bullet"/>
      <w:lvlText w:val="-"/>
      <w:lvlJc w:val="left"/>
      <w:pPr>
        <w:ind w:left="1473" w:hanging="360"/>
      </w:pPr>
      <w:rPr>
        <w:rFonts w:ascii="Calibri" w:eastAsiaTheme="minorHAnsi" w:hAnsi="Calibri" w:cs="Calibri" w:hint="default"/>
      </w:rPr>
    </w:lvl>
    <w:lvl w:ilvl="1" w:tplc="04050003" w:tentative="1">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 w15:restartNumberingAfterBreak="0">
    <w:nsid w:val="27077EE6"/>
    <w:multiLevelType w:val="hybridMultilevel"/>
    <w:tmpl w:val="1E4A79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55C20BB"/>
    <w:multiLevelType w:val="hybridMultilevel"/>
    <w:tmpl w:val="8700B3C6"/>
    <w:lvl w:ilvl="0" w:tplc="A82C46C6">
      <w:start w:val="3"/>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A69573B"/>
    <w:multiLevelType w:val="hybridMultilevel"/>
    <w:tmpl w:val="7BE8DFC2"/>
    <w:lvl w:ilvl="0" w:tplc="1C5437D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0D4"/>
    <w:rsid w:val="000109FB"/>
    <w:rsid w:val="000355EB"/>
    <w:rsid w:val="0005128B"/>
    <w:rsid w:val="000B30D4"/>
    <w:rsid w:val="001969D1"/>
    <w:rsid w:val="001F49AB"/>
    <w:rsid w:val="002A68E5"/>
    <w:rsid w:val="002F09EA"/>
    <w:rsid w:val="003840BB"/>
    <w:rsid w:val="003D4AFC"/>
    <w:rsid w:val="004247C6"/>
    <w:rsid w:val="004255A2"/>
    <w:rsid w:val="00455F2C"/>
    <w:rsid w:val="0052244A"/>
    <w:rsid w:val="0054021A"/>
    <w:rsid w:val="00584A69"/>
    <w:rsid w:val="005D0D41"/>
    <w:rsid w:val="005D2D69"/>
    <w:rsid w:val="005D422B"/>
    <w:rsid w:val="006F770E"/>
    <w:rsid w:val="00707496"/>
    <w:rsid w:val="007D158C"/>
    <w:rsid w:val="008049EF"/>
    <w:rsid w:val="008C331C"/>
    <w:rsid w:val="008F7236"/>
    <w:rsid w:val="009D0ED3"/>
    <w:rsid w:val="00A7691B"/>
    <w:rsid w:val="00AB4AFC"/>
    <w:rsid w:val="00BA5FCA"/>
    <w:rsid w:val="00BC64AD"/>
    <w:rsid w:val="00BF50C5"/>
    <w:rsid w:val="00C52A03"/>
    <w:rsid w:val="00D1750D"/>
    <w:rsid w:val="00D75904"/>
    <w:rsid w:val="00E2488E"/>
    <w:rsid w:val="00E54CDE"/>
    <w:rsid w:val="00F00037"/>
    <w:rsid w:val="00FD74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4CCE"/>
  <w15:chartTrackingRefBased/>
  <w15:docId w15:val="{8A5595F9-46AA-41D9-A308-A4600ED85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5D2D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0B30D4"/>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2A68E5"/>
    <w:pPr>
      <w:ind w:left="720"/>
      <w:contextualSpacing/>
    </w:pPr>
  </w:style>
  <w:style w:type="character" w:customStyle="1" w:styleId="markedcontent">
    <w:name w:val="markedcontent"/>
    <w:basedOn w:val="Standardnpsmoodstavce"/>
    <w:rsid w:val="00E54CDE"/>
  </w:style>
  <w:style w:type="character" w:customStyle="1" w:styleId="Nadpis1Char">
    <w:name w:val="Nadpis 1 Char"/>
    <w:basedOn w:val="Standardnpsmoodstavce"/>
    <w:link w:val="Nadpis1"/>
    <w:uiPriority w:val="9"/>
    <w:rsid w:val="005D2D69"/>
    <w:rPr>
      <w:rFonts w:ascii="Times New Roman" w:eastAsia="Times New Roman" w:hAnsi="Times New Roman" w:cs="Times New Roman"/>
      <w:b/>
      <w:bCs/>
      <w:kern w:val="36"/>
      <w:sz w:val="48"/>
      <w:szCs w:val="48"/>
      <w:lang w:eastAsia="cs-CZ"/>
    </w:rPr>
  </w:style>
  <w:style w:type="character" w:styleId="Hypertextovodkaz">
    <w:name w:val="Hyperlink"/>
    <w:basedOn w:val="Standardnpsmoodstavce"/>
    <w:uiPriority w:val="99"/>
    <w:unhideWhenUsed/>
    <w:rsid w:val="005D2D69"/>
    <w:rPr>
      <w:color w:val="0563C1" w:themeColor="hyperlink"/>
      <w:u w:val="single"/>
    </w:rPr>
  </w:style>
  <w:style w:type="character" w:styleId="Siln">
    <w:name w:val="Strong"/>
    <w:basedOn w:val="Standardnpsmoodstavce"/>
    <w:uiPriority w:val="22"/>
    <w:qFormat/>
    <w:rsid w:val="005D2D69"/>
    <w:rPr>
      <w:b/>
      <w:bCs/>
    </w:rPr>
  </w:style>
  <w:style w:type="character" w:styleId="Sledovanodkaz">
    <w:name w:val="FollowedHyperlink"/>
    <w:basedOn w:val="Standardnpsmoodstavce"/>
    <w:uiPriority w:val="99"/>
    <w:semiHidden/>
    <w:unhideWhenUsed/>
    <w:rsid w:val="0054021A"/>
    <w:rPr>
      <w:color w:val="954F72" w:themeColor="followedHyperlink"/>
      <w:u w:val="single"/>
    </w:rPr>
  </w:style>
  <w:style w:type="paragraph" w:customStyle="1" w:styleId="article-perex">
    <w:name w:val="article-perex"/>
    <w:basedOn w:val="Normln"/>
    <w:rsid w:val="0052244A"/>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semiHidden/>
    <w:unhideWhenUsed/>
    <w:rsid w:val="0052244A"/>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518278535">
      <w:bodyDiv w:val="1"/>
      <w:marLeft w:val="0"/>
      <w:marRight w:val="0"/>
      <w:marTop w:val="0"/>
      <w:marBottom w:val="0"/>
      <w:divBdr>
        <w:top w:val="none" w:sz="0" w:space="0" w:color="auto"/>
        <w:left w:val="none" w:sz="0" w:space="0" w:color="auto"/>
        <w:bottom w:val="none" w:sz="0" w:space="0" w:color="auto"/>
        <w:right w:val="none" w:sz="0" w:space="0" w:color="auto"/>
      </w:divBdr>
    </w:div>
    <w:div w:id="1707556614">
      <w:bodyDiv w:val="1"/>
      <w:marLeft w:val="0"/>
      <w:marRight w:val="0"/>
      <w:marTop w:val="0"/>
      <w:marBottom w:val="0"/>
      <w:divBdr>
        <w:top w:val="none" w:sz="0" w:space="0" w:color="auto"/>
        <w:left w:val="none" w:sz="0" w:space="0" w:color="auto"/>
        <w:bottom w:val="none" w:sz="0" w:space="0" w:color="auto"/>
        <w:right w:val="none" w:sz="0" w:space="0" w:color="auto"/>
      </w:divBdr>
    </w:div>
    <w:div w:id="1945650999">
      <w:bodyDiv w:val="1"/>
      <w:marLeft w:val="0"/>
      <w:marRight w:val="0"/>
      <w:marTop w:val="0"/>
      <w:marBottom w:val="0"/>
      <w:divBdr>
        <w:top w:val="none" w:sz="0" w:space="0" w:color="auto"/>
        <w:left w:val="none" w:sz="0" w:space="0" w:color="auto"/>
        <w:bottom w:val="none" w:sz="0" w:space="0" w:color="auto"/>
        <w:right w:val="none" w:sz="0" w:space="0" w:color="auto"/>
      </w:divBdr>
      <w:divsChild>
        <w:div w:id="1993096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taceeu.cz/cs/evropske-fondy-v-cr/financni-nastroje/kapitalove-vstupy" TargetMode="External"/><Relationship Id="rId13" Type="http://schemas.openxmlformats.org/officeDocument/2006/relationships/hyperlink" Target="https://www.jic.cz/ventur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dotaceeu.cz/cs/evropske-fondy-v-cr/financni-nastroje/zaruky" TargetMode="External"/><Relationship Id="rId12" Type="http://schemas.openxmlformats.org/officeDocument/2006/relationships/hyperlink" Target="https://www.czechinvest.org/cz/Sluzby-pro-startupy/Hledate-investora/CzechLink-StartU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niprague.com/" TargetMode="External"/><Relationship Id="rId1" Type="http://schemas.openxmlformats.org/officeDocument/2006/relationships/numbering" Target="numbering.xml"/><Relationship Id="rId6" Type="http://schemas.openxmlformats.org/officeDocument/2006/relationships/hyperlink" Target="https://www.dotaceeu.cz/cs/evropske-fondy-v-cr/financni-nastroje/uvery" TargetMode="External"/><Relationship Id="rId11" Type="http://schemas.openxmlformats.org/officeDocument/2006/relationships/hyperlink" Target="https://www.czechinvest.org/cz/Sluzby-pro-startupy/Technologicka-inkubace" TargetMode="External"/><Relationship Id="rId5" Type="http://schemas.openxmlformats.org/officeDocument/2006/relationships/hyperlink" Target="https://startupnationsstandard.eu/" TargetMode="External"/><Relationship Id="rId15" Type="http://schemas.openxmlformats.org/officeDocument/2006/relationships/hyperlink" Target="https://www.petrol.cz/aktuality/skupina-orlen-unipetrol-zacne-spolupracovat-se-startupy-11244" TargetMode="External"/><Relationship Id="rId10" Type="http://schemas.openxmlformats.org/officeDocument/2006/relationships/hyperlink" Target="https://investeu.europa.eu/what-investeu-programme/investeu-fund/about-investeu-fund_en" TargetMode="External"/><Relationship Id="rId4" Type="http://schemas.openxmlformats.org/officeDocument/2006/relationships/webSettings" Target="webSettings.xml"/><Relationship Id="rId9" Type="http://schemas.openxmlformats.org/officeDocument/2006/relationships/hyperlink" Target="https://www.nrinvesticni.cz/investice/ipo-fond/" TargetMode="External"/><Relationship Id="rId14" Type="http://schemas.openxmlformats.org/officeDocument/2006/relationships/hyperlink" Target="https://cc.cz/investicni-fond-cezu-chytil-prvniho-jednorozce-hodnota-nemeckeho-startupu-forto-prekonala-miliardu-dolar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Pages>
  <Words>2052</Words>
  <Characters>12110</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4</cp:revision>
  <dcterms:created xsi:type="dcterms:W3CDTF">2022-09-11T22:03:00Z</dcterms:created>
  <dcterms:modified xsi:type="dcterms:W3CDTF">2022-09-11T23:11:00Z</dcterms:modified>
</cp:coreProperties>
</file>